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23" w:rsidRPr="00837C58" w:rsidRDefault="00F13F23" w:rsidP="00B93894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3B2D5D" w:rsidTr="00F13F23">
        <w:tc>
          <w:tcPr>
            <w:tcW w:w="4811" w:type="dxa"/>
            <w:vAlign w:val="center"/>
          </w:tcPr>
          <w:p w:rsidR="00F13F23" w:rsidRDefault="00F13F23" w:rsidP="00F13F23">
            <w:pPr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r>
              <w:rPr>
                <w:rFonts w:ascii="Cambria" w:hAnsi="Cambria" w:cs="TimesNewRoman,Bold"/>
                <w:noProof/>
                <w:color w:val="000000"/>
                <w:sz w:val="28"/>
                <w:szCs w:val="28"/>
                <w:lang w:val="bg-BG" w:eastAsia="bg-BG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1D4F9E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837C58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Default="00F13F23" w:rsidP="00F13F23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837C58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Default="00F13F23" w:rsidP="00F13F23">
            <w:pPr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494D41" w:rsidRDefault="00494D41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F13F23" w:rsidRPr="00457B41" w:rsidRDefault="00F13F23" w:rsidP="00494D41">
      <w:pPr>
        <w:shd w:val="clear" w:color="auto" w:fill="FFFFFF"/>
        <w:spacing w:after="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E76DAE" w:rsidRPr="00837C58" w:rsidRDefault="00D10230" w:rsidP="001D4F9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Република България чрез Посолството</w:t>
      </w:r>
      <w:r w:rsidR="00D77995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Тбилиси, Грузия</w:t>
      </w:r>
      <w:r w:rsidR="001D4F9E" w:rsidRPr="001D4F9E">
        <w:rPr>
          <w:rStyle w:val="tlid-translation"/>
          <w:sz w:val="24"/>
          <w:szCs w:val="24"/>
          <w:lang w:val="ru-RU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0D69C2" w:rsidRP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="00F90922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D10230">
        <w:rPr>
          <w:rFonts w:eastAsia="Times New Roman" w:cstheme="minorHAnsi"/>
          <w:color w:val="212121"/>
          <w:sz w:val="24"/>
          <w:szCs w:val="24"/>
          <w:lang w:val="bg-BG"/>
        </w:rPr>
        <w:t>година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D10230" w:rsidRDefault="00D1023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837C58" w:rsidRDefault="00CF783E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на проекти на територията на </w:t>
      </w:r>
      <w:r w:rsidR="00D77995">
        <w:rPr>
          <w:rStyle w:val="tlid-translation"/>
          <w:b/>
          <w:sz w:val="24"/>
          <w:szCs w:val="24"/>
          <w:lang w:val="ru-RU"/>
        </w:rPr>
        <w:t>Грузия</w:t>
      </w:r>
      <w:r w:rsidR="001D4F9E">
        <w:rPr>
          <w:rStyle w:val="tlid-translation"/>
          <w:b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са: </w:t>
      </w:r>
    </w:p>
    <w:p w:rsidR="003E46F1" w:rsidRPr="00837C58" w:rsidRDefault="003E46F1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D77995" w:rsidRPr="00D77995" w:rsidRDefault="00D77995" w:rsidP="00D7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D77995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качествено, всеобхватно и модерно образование, включително чрез подобряване на образователна инфраструктура и подобряване на условията и достъпа до образование ,</w:t>
      </w:r>
    </w:p>
    <w:p w:rsidR="001D4F9E" w:rsidRPr="00D77995" w:rsidRDefault="00D77995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r w:rsidRPr="00D77995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изграждането и развитието на капацитет в сферата на демократизацията, доброто управление и правата на човека, със специално внимание към децата, жените, хората с увреждания и други уязвими групи;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Pr="00837C58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BA1059" w:rsidRPr="00837C58" w:rsidRDefault="00BA1059" w:rsidP="00BA1059">
      <w:pPr>
        <w:shd w:val="clear" w:color="auto" w:fill="FFFFFF"/>
        <w:spacing w:after="0"/>
        <w:jc w:val="both"/>
        <w:rPr>
          <w:rFonts w:cstheme="minorHAnsi"/>
          <w:color w:val="212121"/>
          <w:sz w:val="24"/>
          <w:szCs w:val="24"/>
          <w:lang w:val="bg-BG"/>
        </w:rPr>
      </w:pPr>
    </w:p>
    <w:p w:rsidR="00D77995" w:rsidRPr="00D77995" w:rsidRDefault="00D77995" w:rsidP="00D7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D77995">
        <w:rPr>
          <w:rFonts w:eastAsia="Times New Roman" w:cstheme="minorHAnsi"/>
          <w:i/>
          <w:color w:val="212121"/>
          <w:sz w:val="24"/>
          <w:szCs w:val="24"/>
          <w:lang w:val="bg-BG"/>
        </w:rPr>
        <w:t>Подкрепа за европейската интеграция на Грузия и развитие на двустранните отношения, в това число:</w:t>
      </w:r>
    </w:p>
    <w:p w:rsidR="00D77995" w:rsidRPr="00D77995" w:rsidRDefault="00D77995" w:rsidP="00D7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D77995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Република България;</w:t>
      </w:r>
    </w:p>
    <w:p w:rsidR="00D77995" w:rsidRPr="00D77995" w:rsidRDefault="00D77995" w:rsidP="00D7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D77995">
        <w:rPr>
          <w:rFonts w:eastAsia="Times New Roman" w:cstheme="minorHAnsi"/>
          <w:i/>
          <w:color w:val="212121"/>
          <w:sz w:val="24"/>
          <w:szCs w:val="24"/>
          <w:lang w:val="bg-BG"/>
        </w:rPr>
        <w:t>- Насърчаването на демократичните процеси на основата на ценностите на демокрацията и върховенството на закона;</w:t>
      </w:r>
    </w:p>
    <w:p w:rsidR="00D77995" w:rsidRPr="00D77995" w:rsidRDefault="00D77995" w:rsidP="00D77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D77995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Изграждане на прозрачни, отговорни и стабилни институции на национално, регионално и местно ниво, гарантиращи висока степен на защита на правата на човека, като предпоставка за устойчиво и възходящо развитие; </w:t>
      </w:r>
    </w:p>
    <w:p w:rsidR="001D4F9E" w:rsidRPr="00D77995" w:rsidRDefault="00D77995" w:rsidP="003B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D77995">
        <w:rPr>
          <w:rFonts w:eastAsia="Times New Roman" w:cstheme="minorHAnsi"/>
          <w:i/>
          <w:color w:val="212121"/>
          <w:sz w:val="24"/>
          <w:szCs w:val="24"/>
          <w:lang w:val="bg-BG"/>
        </w:rPr>
        <w:t>- Подкрепа за качествено и достъпно образование.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326EB3" w:rsidRPr="00837C58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D77995" w:rsidRDefault="00D7799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D77995" w:rsidRDefault="00D7799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D77995" w:rsidRDefault="00D7799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lastRenderedPageBreak/>
        <w:t>2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26EB3" w:rsidRPr="001D4F9E" w:rsidRDefault="00326EB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FC66DC" w:rsidRPr="00FC66DC" w:rsidRDefault="00FC66DC" w:rsidP="00FC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>- Неправителствени организации, чиито проекти допринасят за реализацията на приоритетите и постигането на целите на българската официална „Помощ за развитие“;</w:t>
      </w:r>
    </w:p>
    <w:p w:rsidR="00FC66DC" w:rsidRPr="00FC66DC" w:rsidRDefault="00FC66DC" w:rsidP="00FC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- Д</w:t>
      </w:r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>етски градини, училища, дневни центрове и пр.;</w:t>
      </w:r>
    </w:p>
    <w:p w:rsidR="00FC66DC" w:rsidRPr="00FC66DC" w:rsidRDefault="00FC66DC" w:rsidP="00FC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</w:t>
      </w:r>
      <w:proofErr w:type="spellStart"/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>Mаргинализирани</w:t>
      </w:r>
      <w:proofErr w:type="spellEnd"/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и уязвими групи, със специален акцент върху деца, жени, хора с увреждания, етнически малцинства и пр.;</w:t>
      </w:r>
    </w:p>
    <w:p w:rsidR="001D4F9E" w:rsidRPr="00837C58" w:rsidRDefault="00FC66D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>- Други – организации, допринасящи чрез дейностите си за утвърждаването на доброто име на Република България и развиващи дейност в областите, посочени в обявата, а именно: защита на правата на човека, образо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>вание и грижа за уязвими групи и пр.</w:t>
      </w:r>
    </w:p>
    <w:p w:rsidR="004A5F20" w:rsidRPr="001D4F9E" w:rsidRDefault="004A5F20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93894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1A1179" w:rsidRPr="001D4F9E" w:rsidRDefault="001A117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FC66DC" w:rsidRPr="00FC66DC" w:rsidRDefault="00FC66DC" w:rsidP="00FC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>- Утвърждаване на доброто име и международния авторитет на Република България, разширяване на възможностите за трансфер на експертиза между Република България и Грузия;</w:t>
      </w:r>
    </w:p>
    <w:p w:rsidR="00FC66DC" w:rsidRPr="00FC66DC" w:rsidRDefault="00FC66DC" w:rsidP="00FC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>- Задълбочаване на взаимодействието между институциите на централно, регионално и местно ниво, с цел гарантиране на висока степен на защита на правата на човека, върховенство на правото, демокрация и добро управление;</w:t>
      </w:r>
    </w:p>
    <w:p w:rsidR="00FC66DC" w:rsidRPr="00FC66DC" w:rsidRDefault="00FC66DC" w:rsidP="00FC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>- Подобряване на социално-икономическото развитие и доброто управление, водещо към устойчиво и приобщаващо икономическо развитие, намаляване на бедността и повишаване на благоденствието;</w:t>
      </w:r>
    </w:p>
    <w:p w:rsidR="00FC66DC" w:rsidRPr="00FC66DC" w:rsidRDefault="00FC66DC" w:rsidP="00FC66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>- Повишаване на качеството и разширяване на достъпа до образование, вкл. и за най-уязвимите групи от населението;</w:t>
      </w:r>
    </w:p>
    <w:p w:rsidR="001D4F9E" w:rsidRPr="00837C58" w:rsidRDefault="00FC66DC" w:rsidP="002C0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FC66DC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- Възприемане и прилагане на добри </w:t>
      </w:r>
      <w:r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практики и европейски стандарти. </w:t>
      </w:r>
    </w:p>
    <w:p w:rsidR="00B93894" w:rsidRPr="001D4F9E" w:rsidRDefault="00B93894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837C58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837C58" w:rsidRDefault="00FA0899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837C58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837C58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837C58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837C58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837C58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sz w:val="24"/>
          <w:szCs w:val="24"/>
          <w:lang w:val="bg-BG"/>
        </w:rPr>
      </w:pP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FC66DC">
        <w:rPr>
          <w:rFonts w:eastAsia="Times New Roman" w:cstheme="minorHAnsi"/>
          <w:b/>
          <w:iCs/>
          <w:sz w:val="24"/>
          <w:szCs w:val="24"/>
          <w:lang w:val="bg-BG"/>
        </w:rPr>
        <w:t>5 000</w:t>
      </w:r>
      <w:r w:rsidR="001B3B61" w:rsidRPr="00FC66DC">
        <w:rPr>
          <w:rFonts w:eastAsia="Times New Roman" w:cstheme="minorHAnsi"/>
          <w:b/>
          <w:iCs/>
          <w:sz w:val="24"/>
          <w:szCs w:val="24"/>
          <w:lang w:val="bg-BG"/>
        </w:rPr>
        <w:t xml:space="preserve"> </w:t>
      </w:r>
      <w:r w:rsidRPr="00FC66DC">
        <w:rPr>
          <w:rFonts w:eastAsia="Times New Roman" w:cstheme="minorHAnsi"/>
          <w:b/>
          <w:iCs/>
          <w:sz w:val="24"/>
          <w:szCs w:val="24"/>
          <w:lang w:val="bg-BG"/>
        </w:rPr>
        <w:t>лв.</w:t>
      </w:r>
    </w:p>
    <w:p w:rsidR="003D6175" w:rsidRPr="00837C58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</w:p>
    <w:p w:rsidR="00754B52" w:rsidRDefault="003D61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4.2. </w:t>
      </w:r>
      <w:r w:rsidR="001F5968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837C58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837C58">
        <w:rPr>
          <w:rFonts w:eastAsia="Times New Roman" w:cstheme="minorHAnsi"/>
          <w:iCs/>
          <w:sz w:val="24"/>
          <w:szCs w:val="24"/>
          <w:lang w:val="bg-BG"/>
        </w:rPr>
        <w:t>:</w:t>
      </w:r>
      <w:r w:rsidR="00FC66DC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="00FC66DC" w:rsidRPr="00FC66DC">
        <w:rPr>
          <w:rFonts w:eastAsia="Times New Roman" w:cstheme="minorHAnsi"/>
          <w:b/>
          <w:iCs/>
          <w:sz w:val="24"/>
          <w:szCs w:val="24"/>
          <w:lang w:val="bg-BG"/>
        </w:rPr>
        <w:t>70 000 лв.</w:t>
      </w:r>
      <w:r w:rsidR="00FC66DC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</w:p>
    <w:p w:rsidR="00FC66DC" w:rsidRDefault="00FC66DC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</w:p>
    <w:p w:rsidR="001B1E0A" w:rsidRPr="001B1E0A" w:rsidRDefault="001B1E0A" w:rsidP="001B1E0A">
      <w:pPr>
        <w:shd w:val="clear" w:color="auto" w:fill="FFFFFF"/>
        <w:spacing w:after="0"/>
        <w:jc w:val="both"/>
        <w:rPr>
          <w:rFonts w:cstheme="minorHAnsi"/>
          <w:iCs/>
          <w:sz w:val="24"/>
          <w:szCs w:val="24"/>
          <w:lang w:val="bg-BG"/>
        </w:rPr>
      </w:pPr>
      <w:r w:rsidRPr="001B1E0A">
        <w:rPr>
          <w:rFonts w:cstheme="minorHAnsi"/>
          <w:iCs/>
          <w:sz w:val="24"/>
          <w:szCs w:val="24"/>
          <w:lang w:val="bg-BG"/>
        </w:rPr>
        <w:t>4.</w:t>
      </w:r>
      <w:r>
        <w:rPr>
          <w:rFonts w:cstheme="minorHAnsi"/>
          <w:iCs/>
          <w:sz w:val="24"/>
          <w:szCs w:val="24"/>
          <w:lang w:val="bg-BG"/>
        </w:rPr>
        <w:t>3</w:t>
      </w:r>
      <w:r w:rsidRPr="001B1E0A">
        <w:rPr>
          <w:rFonts w:cstheme="minorHAnsi"/>
          <w:iCs/>
          <w:sz w:val="24"/>
          <w:szCs w:val="24"/>
          <w:lang w:val="bg-BG"/>
        </w:rPr>
        <w:t xml:space="preserve">. </w:t>
      </w:r>
      <w:r w:rsidRPr="00FC66DC">
        <w:rPr>
          <w:rFonts w:cstheme="minorHAnsi"/>
          <w:b/>
          <w:i/>
          <w:iCs/>
          <w:sz w:val="24"/>
          <w:szCs w:val="24"/>
          <w:lang w:val="bg-BG"/>
        </w:rPr>
        <w:t xml:space="preserve">Осигурено от кандидата </w:t>
      </w:r>
      <w:proofErr w:type="spellStart"/>
      <w:r w:rsidRPr="00FC66DC">
        <w:rPr>
          <w:rFonts w:cstheme="minorHAnsi"/>
          <w:b/>
          <w:i/>
          <w:iCs/>
          <w:sz w:val="24"/>
          <w:szCs w:val="24"/>
          <w:lang w:val="bg-BG"/>
        </w:rPr>
        <w:t>съ</w:t>
      </w:r>
      <w:proofErr w:type="spellEnd"/>
      <w:r w:rsidRPr="00FC66DC">
        <w:rPr>
          <w:rFonts w:cstheme="minorHAnsi"/>
          <w:b/>
          <w:i/>
          <w:iCs/>
          <w:sz w:val="24"/>
          <w:szCs w:val="24"/>
          <w:lang w:val="bg-BG"/>
        </w:rPr>
        <w:t>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1B1E0A" w:rsidRDefault="001B1E0A" w:rsidP="001B1E0A">
      <w:pPr>
        <w:shd w:val="clear" w:color="auto" w:fill="FFFFFF"/>
        <w:spacing w:after="0"/>
        <w:ind w:left="420"/>
        <w:jc w:val="both"/>
        <w:rPr>
          <w:rFonts w:cstheme="minorHAnsi"/>
          <w:iCs/>
          <w:lang w:val="bg-BG"/>
        </w:rPr>
      </w:pP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6810BF" w:rsidRPr="00837C58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6810BF" w:rsidRDefault="006810BF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837C58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3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E2175" w:rsidRPr="00837C58" w:rsidRDefault="00837C58" w:rsidP="006810BF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0D69C2">
        <w:rPr>
          <w:rFonts w:eastAsia="Times New Roman" w:cstheme="minorHAnsi"/>
          <w:color w:val="212121"/>
          <w:sz w:val="24"/>
          <w:szCs w:val="24"/>
          <w:lang w:val="bg-BG"/>
        </w:rPr>
        <w:t>5</w:t>
      </w:r>
      <w:r w:rsidR="00917E9C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837C58" w:rsidRDefault="007A4F3D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6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FC66DC" w:rsidRPr="00FC66DC" w:rsidRDefault="00FC66DC" w:rsidP="00FC66D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FC66DC">
        <w:rPr>
          <w:rFonts w:asciiTheme="minorHAnsi" w:hAnsiTheme="minorHAnsi" w:cstheme="minorHAnsi"/>
          <w:i/>
          <w:color w:val="212121"/>
          <w:lang w:val="bg-BG"/>
        </w:rPr>
        <w:t>Първостепенни и второстепенни разпоредители с бюджет – юридически лица на Грузия;</w:t>
      </w:r>
    </w:p>
    <w:p w:rsidR="00FC66DC" w:rsidRPr="00FC66DC" w:rsidRDefault="00FC66DC" w:rsidP="00FC66D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FC66DC">
        <w:rPr>
          <w:rFonts w:asciiTheme="minorHAnsi" w:hAnsiTheme="minorHAnsi" w:cstheme="minorHAnsi"/>
          <w:i/>
          <w:color w:val="212121"/>
          <w:lang w:val="bg-BG"/>
        </w:rPr>
        <w:t xml:space="preserve">Международни и местни неправителствени организации; </w:t>
      </w:r>
    </w:p>
    <w:p w:rsidR="00FC66DC" w:rsidRPr="00FC66DC" w:rsidRDefault="00FC66DC" w:rsidP="00FC66D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FC66DC">
        <w:rPr>
          <w:rFonts w:asciiTheme="minorHAnsi" w:hAnsiTheme="minorHAnsi" w:cstheme="minorHAnsi"/>
          <w:i/>
          <w:color w:val="212121"/>
          <w:lang w:val="bg-BG"/>
        </w:rPr>
        <w:t>Общини и техни обединения;</w:t>
      </w:r>
    </w:p>
    <w:p w:rsidR="00FC66DC" w:rsidRPr="00FC66DC" w:rsidRDefault="00FC66DC" w:rsidP="00FC66D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FC66DC">
        <w:rPr>
          <w:rFonts w:asciiTheme="minorHAnsi" w:hAnsiTheme="minorHAnsi" w:cstheme="minorHAnsi"/>
          <w:i/>
          <w:color w:val="212121"/>
          <w:lang w:val="bg-BG"/>
        </w:rPr>
        <w:t xml:space="preserve">Образователни, здравни и социални институции; </w:t>
      </w:r>
    </w:p>
    <w:p w:rsidR="00FC66DC" w:rsidRPr="00FC66DC" w:rsidRDefault="00FC66DC" w:rsidP="00FC66D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FC66DC">
        <w:rPr>
          <w:rFonts w:asciiTheme="minorHAnsi" w:hAnsiTheme="minorHAnsi" w:cstheme="minorHAnsi"/>
          <w:i/>
          <w:color w:val="212121"/>
          <w:lang w:val="bg-BG"/>
        </w:rPr>
        <w:t>Международни хуманитарни организации;</w:t>
      </w:r>
    </w:p>
    <w:p w:rsidR="00FC66DC" w:rsidRPr="00FC66DC" w:rsidRDefault="00FC66DC" w:rsidP="00FC66DC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FF0000"/>
          <w:lang w:val="bg-BG"/>
        </w:rPr>
      </w:pPr>
      <w:r w:rsidRPr="00FC66DC">
        <w:rPr>
          <w:rFonts w:asciiTheme="minorHAnsi" w:hAnsiTheme="minorHAnsi" w:cstheme="minorHAnsi"/>
          <w:i/>
          <w:color w:val="212121"/>
          <w:lang w:val="bg-BG"/>
        </w:rPr>
        <w:t xml:space="preserve">Други - </w:t>
      </w:r>
      <w:r w:rsidRPr="00FC66DC">
        <w:rPr>
          <w:rFonts w:asciiTheme="minorHAnsi" w:hAnsiTheme="minorHAnsi" w:cstheme="minorHAnsi"/>
          <w:i/>
          <w:color w:val="000000" w:themeColor="text1"/>
          <w:lang w:val="bg-BG"/>
        </w:rPr>
        <w:t>организации, допринасящи чрез дейностите си за утвърждаването на доброто име на Република България и развиващи дейност в областите, посочени в обявата.</w:t>
      </w:r>
      <w:r w:rsidRPr="00FC66DC">
        <w:rPr>
          <w:rFonts w:asciiTheme="minorHAnsi" w:hAnsiTheme="minorHAnsi" w:cstheme="minorHAnsi"/>
          <w:i/>
          <w:color w:val="212121"/>
          <w:lang w:val="bg-BG"/>
        </w:rPr>
        <w:t xml:space="preserve"> </w:t>
      </w:r>
    </w:p>
    <w:p w:rsidR="00FC66DC" w:rsidRDefault="00FC66DC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</w:p>
    <w:p w:rsidR="00D744CA" w:rsidRPr="00D744CA" w:rsidRDefault="00D744CA" w:rsidP="00CB533B">
      <w:pPr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D744CA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1D4F9E" w:rsidRDefault="00403775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403775" w:rsidRPr="00837C58" w:rsidRDefault="002F11F3" w:rsidP="004037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40377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837C58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1D4F9E">
        <w:rPr>
          <w:lang w:val="ru-RU"/>
        </w:rPr>
        <w:t xml:space="preserve"> </w:t>
      </w:r>
      <w:r w:rsidR="005C03E0">
        <w:rPr>
          <w:lang w:val="bg-BG"/>
        </w:rPr>
        <w:t xml:space="preserve">и да отговарят на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 и </w:t>
      </w:r>
      <w:r w:rsidR="005C03E0" w:rsidRPr="005C03E0">
        <w:rPr>
          <w:rFonts w:eastAsia="Times New Roman" w:cstheme="minorHAnsi"/>
          <w:color w:val="212121"/>
          <w:sz w:val="24"/>
          <w:szCs w:val="24"/>
          <w:lang w:val="bg-BG"/>
        </w:rPr>
        <w:t>прозрачност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да са извършени срещу необходимите </w:t>
      </w:r>
      <w:proofErr w:type="spellStart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разходооправдателни</w:t>
      </w:r>
      <w:proofErr w:type="spellEnd"/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документи -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837C58" w:rsidRDefault="00403775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837C58" w:rsidRDefault="00BB139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837C58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837C58" w:rsidRDefault="00D26713" w:rsidP="00BB1393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Default="00D26713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837C58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1D4F9E">
        <w:rPr>
          <w:lang w:val="ru-RU"/>
        </w:rPr>
        <w:t xml:space="preserve"> 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</w:t>
      </w:r>
      <w:r w:rsidR="001B1E0A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проекта</w:t>
      </w:r>
      <w:r w:rsidR="001B1E0A" w:rsidRPr="001B1E0A">
        <w:rPr>
          <w:rFonts w:eastAsia="Times New Roman" w:cstheme="minorHAnsi"/>
          <w:color w:val="212121"/>
          <w:sz w:val="24"/>
          <w:szCs w:val="24"/>
          <w:lang w:val="bg-BG"/>
        </w:rPr>
        <w:t>, но не повече от 5 хиляди лева</w:t>
      </w:r>
      <w:r w:rsidR="00BD2320" w:rsidRPr="00837C58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781184" w:rsidRPr="005A2A0D" w:rsidRDefault="00781184" w:rsidP="00A200EF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5A2A0D">
        <w:rPr>
          <w:rFonts w:eastAsia="Times New Roman" w:cstheme="minorHAnsi"/>
          <w:b/>
          <w:color w:val="212121"/>
          <w:sz w:val="24"/>
          <w:szCs w:val="24"/>
          <w:lang w:val="bg-BG"/>
        </w:rPr>
        <w:t>- „Насоките за публичност и видимост“ на българската „Помощ за развитие“ следва да</w:t>
      </w:r>
      <w:r w:rsidR="005A2A0D" w:rsidRPr="005A2A0D">
        <w:rPr>
          <w:rFonts w:eastAsia="Times New Roman" w:cstheme="minorHAnsi"/>
          <w:b/>
          <w:color w:val="212121"/>
          <w:sz w:val="24"/>
          <w:szCs w:val="24"/>
        </w:rPr>
        <w:t xml:space="preserve"> </w:t>
      </w:r>
      <w:r w:rsidRPr="005A2A0D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се прилагат при реализирането на всички проекти </w:t>
      </w:r>
    </w:p>
    <w:p w:rsidR="00B93894" w:rsidRPr="00837C58" w:rsidRDefault="002F11F3" w:rsidP="00B93894">
      <w:pPr>
        <w:shd w:val="clear" w:color="auto" w:fill="FFFFFF"/>
        <w:spacing w:after="150" w:line="24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Дейности, допринасящи за укрепване на публичните институции в страната-партньор, отговорни за разработване и прилагане на националната политика в приоритетните </w:t>
      </w:r>
      <w:r w:rsidRPr="00781184">
        <w:rPr>
          <w:rFonts w:eastAsia="Times New Roman" w:cstheme="minorHAnsi"/>
          <w:b/>
          <w:color w:val="212121"/>
          <w:sz w:val="24"/>
          <w:szCs w:val="24"/>
          <w:lang w:val="bg-BG"/>
        </w:rPr>
        <w:lastRenderedPageBreak/>
        <w:t>области и целящи да съдействат за засилване на тяхната прозрачност, отговорност и ефективност и допринасящи за укрепване развитието на гражданското общество, медиите и повишаване на приноса му за социалната справедливост, демокрацията и устойчивото развитие, например: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>- Разработване на нови/осъвременяване на съществуващи обучителни модули, изследвания и стратегии и финансиране на обмен в сферата на образованието;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>- Провеждане на обучения по конкретни теми в български институции, с цел предаване на добри практики и повишаване на квалификацията на представителите на страната-партньор.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 xml:space="preserve">- Организиране и провеждане на обучения за </w:t>
      </w:r>
      <w:proofErr w:type="spellStart"/>
      <w:r w:rsidRPr="00781184">
        <w:rPr>
          <w:rFonts w:eastAsia="Times New Roman" w:cstheme="minorHAnsi"/>
          <w:color w:val="212121"/>
          <w:sz w:val="24"/>
          <w:szCs w:val="24"/>
        </w:rPr>
        <w:t>представители</w:t>
      </w:r>
      <w:proofErr w:type="spellEnd"/>
      <w:r w:rsidRPr="00781184">
        <w:rPr>
          <w:rFonts w:eastAsia="Times New Roman" w:cstheme="minorHAnsi"/>
          <w:color w:val="212121"/>
          <w:sz w:val="24"/>
          <w:szCs w:val="24"/>
        </w:rPr>
        <w:t xml:space="preserve"> на</w:t>
      </w: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 xml:space="preserve"> Грузия в сектора на образованието, медиите и пр.;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>- Изграждане на свързана с приоритетните области инфраструктура;</w:t>
      </w:r>
    </w:p>
    <w:p w:rsidR="005C594D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 xml:space="preserve">- Дейности за повишаване на информираността за правата на гражданите и повишаване на достъпа до </w:t>
      </w:r>
      <w:proofErr w:type="spellStart"/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>инклузивно</w:t>
      </w:r>
      <w:proofErr w:type="spellEnd"/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 xml:space="preserve"> и качествено образование, както и изграждане на демократично общество;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 xml:space="preserve">- 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>- Дейности за подобряване на диалога между неправителствените организации и местните, регионалните и националните власти.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b/>
          <w:color w:val="212121"/>
          <w:sz w:val="24"/>
          <w:szCs w:val="24"/>
          <w:lang w:val="bg-BG"/>
        </w:rPr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строителни работи, възстановяване, подновяване, рехабилитация, мерки за запазване и подобряване на прилежащите сгради и инфраструктура, обществените сгради и други допълващи обекти, например: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 xml:space="preserve">- 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 </w:t>
      </w:r>
    </w:p>
    <w:p w:rsidR="00781184" w:rsidRPr="00781184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781184">
        <w:rPr>
          <w:rFonts w:eastAsia="Times New Roman" w:cstheme="minorHAnsi"/>
          <w:color w:val="212121"/>
          <w:sz w:val="24"/>
          <w:szCs w:val="24"/>
          <w:lang w:val="bg-BG"/>
        </w:rPr>
        <w:t>- Строителни работи за подобряване на обекти  държавна или общинска собственост – училища, болници, детски градини и т.н.</w:t>
      </w:r>
    </w:p>
    <w:p w:rsidR="00B93894" w:rsidRPr="001D4F9E" w:rsidRDefault="00B93894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837C58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E81F02" w:rsidRPr="001D4F9E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E81F02" w:rsidRPr="00837C58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DA3B03">
          <w:rPr>
            <w:rStyle w:val="Hyperlink"/>
          </w:rPr>
          <w:t>https</w:t>
        </w:r>
        <w:r w:rsidR="00DA3B03" w:rsidRPr="000D69C2">
          <w:rPr>
            <w:rStyle w:val="Hyperlink"/>
            <w:lang w:val="ru-RU"/>
          </w:rPr>
          <w:t>://</w:t>
        </w:r>
        <w:r w:rsidR="00DA3B03" w:rsidRPr="00DA3B03">
          <w:rPr>
            <w:rStyle w:val="Hyperlink"/>
          </w:rPr>
          <w:t>www</w:t>
        </w:r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mfa</w:t>
        </w:r>
        <w:proofErr w:type="spellEnd"/>
        <w:r w:rsidR="00DA3B03" w:rsidRPr="000D69C2">
          <w:rPr>
            <w:rStyle w:val="Hyperlink"/>
            <w:lang w:val="ru-RU"/>
          </w:rPr>
          <w:t>.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</w:t>
        </w:r>
        <w:proofErr w:type="spellStart"/>
        <w:r w:rsidR="00DA3B03" w:rsidRPr="00DA3B03">
          <w:rPr>
            <w:rStyle w:val="Hyperlink"/>
          </w:rPr>
          <w:t>bg</w:t>
        </w:r>
        <w:proofErr w:type="spellEnd"/>
        <w:r w:rsidR="00DA3B03" w:rsidRPr="000D69C2">
          <w:rPr>
            <w:rStyle w:val="Hyperlink"/>
            <w:lang w:val="ru-RU"/>
          </w:rPr>
          <w:t>/3865</w:t>
        </w:r>
      </w:hyperlink>
    </w:p>
    <w:p w:rsidR="007C034A" w:rsidRDefault="007C034A" w:rsidP="007C034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color w:val="212121"/>
          <w:sz w:val="24"/>
          <w:szCs w:val="24"/>
          <w:highlight w:val="yellow"/>
          <w:lang w:val="bg-BG"/>
        </w:rPr>
      </w:pPr>
    </w:p>
    <w:p w:rsidR="00E81F02" w:rsidRDefault="00E81F02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781184">
        <w:rPr>
          <w:rFonts w:cstheme="minorHAnsi"/>
          <w:color w:val="212121"/>
          <w:lang w:val="ru-RU"/>
        </w:rPr>
        <w:t>Грузия</w:t>
      </w:r>
      <w:r w:rsidR="005C594D" w:rsidRPr="005C594D">
        <w:rPr>
          <w:rFonts w:cstheme="minorHAnsi"/>
          <w:color w:val="212121"/>
          <w:lang w:val="ru-RU"/>
        </w:rPr>
        <w:t xml:space="preserve">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</w:t>
      </w:r>
      <w:proofErr w:type="spellStart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Неполучаването</w:t>
      </w:r>
      <w:proofErr w:type="spellEnd"/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такава информация в </w:t>
      </w:r>
      <w:r w:rsidR="001A1179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837C58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Default="005D7B25" w:rsidP="00E81F0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B93894" w:rsidRPr="00837C58" w:rsidRDefault="002F11F3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837C58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D07BD2" w:rsidRPr="001D4F9E" w:rsidRDefault="00D07BD2" w:rsidP="00B9389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</w:p>
    <w:p w:rsidR="00781184" w:rsidRPr="00F71A0E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lastRenderedPageBreak/>
        <w:t>Проектните предложения, с приложена документация към тях, следва да с</w:t>
      </w:r>
      <w:r w:rsidR="00F71A0E"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>е изпращат в срок до 30 юни 2022</w:t>
      </w:r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г. по следните начини:</w:t>
      </w:r>
    </w:p>
    <w:p w:rsidR="00781184" w:rsidRPr="00F71A0E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</w:rPr>
      </w:pPr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>По електронна поща на адрес</w:t>
      </w:r>
      <w:r w:rsidRPr="00F71A0E">
        <w:rPr>
          <w:rFonts w:eastAsia="Times New Roman" w:cstheme="minorHAnsi"/>
          <w:i/>
          <w:color w:val="212121"/>
          <w:sz w:val="24"/>
          <w:szCs w:val="24"/>
        </w:rPr>
        <w:t>:</w:t>
      </w:r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hyperlink r:id="rId10" w:history="1">
        <w:r w:rsidRPr="00F71A0E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Bulgarian.Development.Aid.Tbilisi@mfa.bg</w:t>
        </w:r>
      </w:hyperlink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, с копие до </w:t>
      </w:r>
      <w:hyperlink r:id="rId11" w:history="1">
        <w:r w:rsidRPr="00F71A0E">
          <w:rPr>
            <w:rFonts w:eastAsia="Times New Roman" w:cstheme="minorHAnsi"/>
            <w:i/>
            <w:color w:val="0000FF"/>
            <w:sz w:val="24"/>
            <w:szCs w:val="24"/>
            <w:u w:val="single"/>
            <w:lang w:eastAsia="bg-BG"/>
          </w:rPr>
          <w:t>Iliya.Nachev@mfa.bg</w:t>
        </w:r>
      </w:hyperlink>
      <w:r w:rsidRPr="00F71A0E">
        <w:rPr>
          <w:rFonts w:eastAsia="Times New Roman" w:cstheme="minorHAnsi"/>
          <w:i/>
          <w:color w:val="0000FF"/>
          <w:sz w:val="24"/>
          <w:szCs w:val="24"/>
          <w:lang w:val="bg-BG" w:eastAsia="bg-BG"/>
        </w:rPr>
        <w:t xml:space="preserve"> </w:t>
      </w:r>
      <w:r w:rsidRPr="00F71A0E">
        <w:rPr>
          <w:rFonts w:eastAsia="Times New Roman" w:cstheme="minorHAnsi"/>
          <w:i/>
          <w:sz w:val="24"/>
          <w:szCs w:val="24"/>
          <w:lang w:val="bg-BG" w:eastAsia="bg-BG"/>
        </w:rPr>
        <w:t>и</w:t>
      </w:r>
      <w:r w:rsidRPr="00F71A0E">
        <w:rPr>
          <w:rFonts w:eastAsia="Times New Roman" w:cstheme="minorHAnsi"/>
          <w:i/>
          <w:color w:val="0000FF"/>
          <w:sz w:val="24"/>
          <w:szCs w:val="24"/>
          <w:lang w:val="bg-BG" w:eastAsia="bg-BG"/>
        </w:rPr>
        <w:t xml:space="preserve"> </w:t>
      </w:r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hyperlink r:id="rId12" w:history="1">
        <w:r w:rsidRPr="00F71A0E">
          <w:rPr>
            <w:rStyle w:val="Hyperlink"/>
            <w:rFonts w:eastAsia="Times New Roman" w:cstheme="minorHAnsi"/>
            <w:i/>
            <w:sz w:val="24"/>
            <w:szCs w:val="24"/>
          </w:rPr>
          <w:t>Ralitsa.Dimitrova@mfa.bg</w:t>
        </w:r>
      </w:hyperlink>
    </w:p>
    <w:p w:rsidR="00781184" w:rsidRPr="00F71A0E" w:rsidRDefault="00781184" w:rsidP="00781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Или по пощенски път на адрес: Embassy </w:t>
      </w:r>
      <w:proofErr w:type="spellStart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>of</w:t>
      </w:r>
      <w:proofErr w:type="spellEnd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>the</w:t>
      </w:r>
      <w:proofErr w:type="spellEnd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Republic </w:t>
      </w:r>
      <w:proofErr w:type="spellStart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>of</w:t>
      </w:r>
      <w:proofErr w:type="spellEnd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>Bulgaria</w:t>
      </w:r>
      <w:proofErr w:type="spellEnd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in Georgia, 15, Vakhtang </w:t>
      </w:r>
      <w:proofErr w:type="spellStart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>Gorgasali</w:t>
      </w:r>
      <w:proofErr w:type="spellEnd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</w:t>
      </w:r>
      <w:proofErr w:type="spellStart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>Lane</w:t>
      </w:r>
      <w:proofErr w:type="spellEnd"/>
      <w:r w:rsidRPr="00F71A0E">
        <w:rPr>
          <w:rFonts w:eastAsia="Times New Roman" w:cstheme="minorHAnsi"/>
          <w:i/>
          <w:color w:val="212121"/>
          <w:sz w:val="24"/>
          <w:szCs w:val="24"/>
          <w:lang w:val="bg-BG"/>
        </w:rPr>
        <w:t>, 0105 Tbilisi, Georgia;</w:t>
      </w:r>
    </w:p>
    <w:p w:rsidR="005C594D" w:rsidRPr="00F71A0E" w:rsidRDefault="00781184" w:rsidP="00D47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color w:val="212121"/>
          <w:sz w:val="24"/>
          <w:szCs w:val="24"/>
          <w:lang w:val="bg-BG"/>
        </w:rPr>
      </w:pPr>
      <w:r w:rsidRPr="00F71A0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Проектните предложения трябва да бъдат изпратени в отделен </w:t>
      </w:r>
      <w:proofErr w:type="spellStart"/>
      <w:r w:rsidRPr="00F71A0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pdf</w:t>
      </w:r>
      <w:proofErr w:type="spellEnd"/>
      <w:r w:rsidRPr="00F71A0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файл, както и в </w:t>
      </w:r>
      <w:proofErr w:type="spellStart"/>
      <w:r w:rsidRPr="00F71A0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>word</w:t>
      </w:r>
      <w:proofErr w:type="spellEnd"/>
      <w:r w:rsidRPr="00F71A0E">
        <w:rPr>
          <w:rFonts w:eastAsia="Times New Roman" w:cstheme="minorHAnsi"/>
          <w:b/>
          <w:i/>
          <w:color w:val="212121"/>
          <w:sz w:val="24"/>
          <w:szCs w:val="24"/>
          <w:lang w:val="bg-BG"/>
        </w:rPr>
        <w:t xml:space="preserve"> формат.</w:t>
      </w:r>
    </w:p>
    <w:p w:rsidR="00896D8E" w:rsidRPr="001D4F9E" w:rsidRDefault="00896D8E" w:rsidP="00B93894">
      <w:pPr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705933" w:rsidRPr="00837C58" w:rsidRDefault="002F11F3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837C58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1445D1" w:rsidRPr="00837C58" w:rsidRDefault="001445D1" w:rsidP="0070593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</w:p>
    <w:p w:rsidR="00BC6297" w:rsidRPr="00BC6799" w:rsidRDefault="003667E0" w:rsidP="0078118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076984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>П</w:t>
      </w:r>
      <w:bookmarkStart w:id="0" w:name="_GoBack"/>
      <w:bookmarkEnd w:id="0"/>
      <w:r w:rsidR="00076984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>осолството</w:t>
      </w:r>
      <w:r w:rsidR="00BC6799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на Република България в Грузия </w:t>
      </w:r>
      <w:r w:rsidR="001445D1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постъпилите </w:t>
      </w:r>
      <w:r w:rsidR="001445D1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>проектн</w:t>
      </w:r>
      <w:r w:rsidR="00E617EB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>и</w:t>
      </w:r>
      <w:r w:rsidR="001445D1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предложени</w:t>
      </w:r>
      <w:r w:rsidR="00E617EB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>я</w:t>
      </w:r>
      <w:r w:rsidR="001445D1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BC6297" w:rsidRPr="00BC6799">
        <w:rPr>
          <w:rFonts w:eastAsia="Times New Roman" w:cstheme="minorHAnsi"/>
          <w:b/>
          <w:color w:val="212121"/>
          <w:sz w:val="24"/>
          <w:szCs w:val="24"/>
          <w:lang w:val="bg-BG"/>
        </w:rPr>
        <w:br w:type="page"/>
      </w:r>
    </w:p>
    <w:p w:rsidR="00BC6297" w:rsidRPr="00BC6297" w:rsidRDefault="00BC6297" w:rsidP="00F75440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b/>
          <w:sz w:val="24"/>
          <w:szCs w:val="24"/>
          <w:lang w:val="bg-BG"/>
        </w:rPr>
      </w:pPr>
      <w:r w:rsidRPr="00BC6297">
        <w:rPr>
          <w:b/>
          <w:sz w:val="24"/>
          <w:szCs w:val="24"/>
          <w:lang w:val="bg-BG"/>
        </w:rPr>
        <w:lastRenderedPageBreak/>
        <w:t>Приложение 1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  <w:r w:rsidRPr="001D4F9E">
        <w:rPr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>
        <w:rPr>
          <w:b/>
          <w:sz w:val="24"/>
          <w:szCs w:val="24"/>
          <w:lang w:val="bg-BG"/>
        </w:rPr>
        <w:t xml:space="preserve"> (извадки)</w:t>
      </w:r>
    </w:p>
    <w:p w:rsidR="00F75440" w:rsidRPr="00BC6297" w:rsidRDefault="00F75440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b/>
          <w:sz w:val="24"/>
          <w:szCs w:val="24"/>
          <w:lang w:val="bg-BG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="Verdana"/>
          <w:sz w:val="24"/>
          <w:szCs w:val="24"/>
          <w:lang w:val="ru-RU"/>
        </w:rPr>
      </w:pPr>
      <w:r w:rsidRPr="00BC6297">
        <w:rPr>
          <w:b/>
          <w:sz w:val="24"/>
          <w:szCs w:val="24"/>
          <w:lang w:val="bg-BG"/>
        </w:rPr>
        <w:t>Чл.23</w:t>
      </w:r>
      <w:r w:rsidRPr="001D4F9E">
        <w:rPr>
          <w:sz w:val="24"/>
          <w:szCs w:val="24"/>
          <w:lang w:val="ru-RU"/>
        </w:rPr>
        <w:t>(</w:t>
      </w:r>
      <w:r w:rsidRPr="001D4F9E">
        <w:rPr>
          <w:b/>
          <w:sz w:val="24"/>
          <w:szCs w:val="24"/>
          <w:lang w:val="ru-RU"/>
        </w:rPr>
        <w:t>3</w:t>
      </w:r>
      <w:r w:rsidRPr="001D4F9E">
        <w:rPr>
          <w:sz w:val="24"/>
          <w:szCs w:val="24"/>
          <w:lang w:val="ru-RU"/>
        </w:rPr>
        <w:t xml:space="preserve">) </w:t>
      </w:r>
      <w:r w:rsidRPr="001D4F9E">
        <w:rPr>
          <w:rFonts w:cs="Verdana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24"/>
        <w:jc w:val="both"/>
        <w:rPr>
          <w:rFonts w:cs="Verdana"/>
          <w:sz w:val="24"/>
          <w:szCs w:val="24"/>
          <w:lang w:val="ru-RU"/>
        </w:rPr>
      </w:pPr>
    </w:p>
    <w:p w:rsidR="00BC6297" w:rsidRPr="00BC6297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</w:rPr>
      </w:pPr>
      <w:r w:rsidRPr="00BC6297">
        <w:rPr>
          <w:rFonts w:cs="Verdana"/>
          <w:sz w:val="24"/>
          <w:szCs w:val="24"/>
        </w:rPr>
        <w:t xml:space="preserve">е </w:t>
      </w:r>
      <w:proofErr w:type="spellStart"/>
      <w:r w:rsidRPr="00BC6297">
        <w:rPr>
          <w:rFonts w:cs="Verdana"/>
          <w:sz w:val="24"/>
          <w:szCs w:val="24"/>
        </w:rPr>
        <w:t>обявено</w:t>
      </w:r>
      <w:proofErr w:type="spellEnd"/>
      <w:r w:rsidRPr="00BC6297">
        <w:rPr>
          <w:rFonts w:cs="Verdana"/>
          <w:sz w:val="24"/>
          <w:szCs w:val="24"/>
        </w:rPr>
        <w:t xml:space="preserve"> в </w:t>
      </w:r>
      <w:proofErr w:type="spellStart"/>
      <w:r w:rsidRPr="00BC6297">
        <w:rPr>
          <w:rFonts w:cs="Verdana"/>
          <w:sz w:val="24"/>
          <w:szCs w:val="24"/>
        </w:rPr>
        <w:t>несъстоятелност</w:t>
      </w:r>
      <w:proofErr w:type="spellEnd"/>
      <w:r w:rsidRPr="00BC6297">
        <w:rPr>
          <w:rFonts w:cs="Verdana"/>
          <w:sz w:val="24"/>
          <w:szCs w:val="24"/>
        </w:rPr>
        <w:t xml:space="preserve">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1D4F9E" w:rsidRDefault="00BC6297" w:rsidP="00F7544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40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1D4F9E">
        <w:rPr>
          <w:rFonts w:cs="Verdana"/>
          <w:sz w:val="24"/>
          <w:szCs w:val="24"/>
          <w:lang w:val="ru-RU"/>
        </w:rPr>
        <w:t xml:space="preserve">: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BC6297">
      <w:pPr>
        <w:widowControl w:val="0"/>
        <w:autoSpaceDE w:val="0"/>
        <w:autoSpaceDN w:val="0"/>
        <w:adjustRightInd w:val="0"/>
        <w:spacing w:after="0" w:line="1" w:lineRule="exact"/>
        <w:rPr>
          <w:rFonts w:cs="Verdana"/>
          <w:sz w:val="24"/>
          <w:szCs w:val="24"/>
          <w:lang w:val="ru-RU"/>
        </w:rPr>
      </w:pP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1D4F9E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1D4F9E">
        <w:rPr>
          <w:rFonts w:cs="Verdana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F75440" w:rsidRDefault="00BC6297" w:rsidP="00F75440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Verdana"/>
          <w:sz w:val="24"/>
          <w:szCs w:val="24"/>
          <w:lang w:val="ru-RU"/>
        </w:rPr>
      </w:pPr>
      <w:r w:rsidRPr="00F75440">
        <w:rPr>
          <w:rFonts w:cs="Verdana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"/>
        <w:jc w:val="both"/>
        <w:rPr>
          <w:rFonts w:cs="Verdana"/>
          <w:b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</w:t>
      </w:r>
      <w:r w:rsidRPr="001D4F9E">
        <w:rPr>
          <w:rFonts w:cs="Verdana"/>
          <w:b/>
          <w:sz w:val="24"/>
          <w:szCs w:val="24"/>
          <w:lang w:val="ru-RU"/>
        </w:rPr>
        <w:lastRenderedPageBreak/>
        <w:t xml:space="preserve">отнасят до техните представители в съответните управителни органи. </w:t>
      </w:r>
    </w:p>
    <w:p w:rsidR="00BC6297" w:rsidRPr="001D4F9E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="Verdana"/>
          <w:sz w:val="24"/>
          <w:szCs w:val="24"/>
          <w:lang w:val="ru-RU"/>
        </w:rPr>
      </w:pPr>
    </w:p>
    <w:p w:rsidR="00BC6297" w:rsidRPr="003B2D5D" w:rsidRDefault="00BC6297" w:rsidP="00BC6297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1D4F9E">
        <w:rPr>
          <w:rFonts w:cs="Verdana"/>
          <w:b/>
          <w:sz w:val="24"/>
          <w:szCs w:val="24"/>
          <w:lang w:val="ru-RU"/>
        </w:rPr>
        <w:t xml:space="preserve">(7) </w:t>
      </w:r>
      <w:r w:rsidRPr="003B2D5D">
        <w:rPr>
          <w:rFonts w:cstheme="minorHAnsi"/>
          <w:b/>
          <w:sz w:val="24"/>
          <w:szCs w:val="24"/>
          <w:lang w:val="ru-RU"/>
        </w:rPr>
        <w:t>Не могат да кандидатстват за участие в предоставянето на помощ за развитие лица</w:t>
      </w:r>
      <w:r w:rsidRPr="003B2D5D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3B2D5D" w:rsidRDefault="00BC6297" w:rsidP="00BC6297">
      <w:pPr>
        <w:widowControl w:val="0"/>
        <w:autoSpaceDE w:val="0"/>
        <w:autoSpaceDN w:val="0"/>
        <w:adjustRightInd w:val="0"/>
        <w:spacing w:after="0" w:line="39" w:lineRule="exact"/>
        <w:rPr>
          <w:rFonts w:cstheme="minorHAnsi"/>
          <w:sz w:val="24"/>
          <w:szCs w:val="24"/>
          <w:lang w:val="ru-RU"/>
        </w:rPr>
      </w:pPr>
    </w:p>
    <w:p w:rsidR="00BC6297" w:rsidRPr="003B2D5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3B2D5D">
        <w:rPr>
          <w:rFonts w:asciiTheme="minorHAnsi" w:hAnsiTheme="minorHAnsi" w:cstheme="minorHAnsi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3B2D5D" w:rsidRDefault="00BC6297" w:rsidP="00F75440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3B2D5D">
        <w:rPr>
          <w:rFonts w:asciiTheme="minorHAnsi" w:hAnsiTheme="minorHAnsi" w:cstheme="minorHAnsi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1D4F9E" w:rsidRDefault="00BC6297" w:rsidP="001A1179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1D4F9E" w:rsidSect="009A446A">
      <w:footerReference w:type="default" r:id="rId13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61" w:rsidRDefault="00687461" w:rsidP="003E46F1">
      <w:pPr>
        <w:spacing w:after="0" w:line="240" w:lineRule="auto"/>
      </w:pPr>
      <w:r>
        <w:separator/>
      </w:r>
    </w:p>
  </w:endnote>
  <w:endnote w:type="continuationSeparator" w:id="0">
    <w:p w:rsidR="00687461" w:rsidRDefault="00687461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978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1184" w:rsidRDefault="007811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679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1184" w:rsidRDefault="0078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61" w:rsidRDefault="00687461" w:rsidP="003E46F1">
      <w:pPr>
        <w:spacing w:after="0" w:line="240" w:lineRule="auto"/>
      </w:pPr>
      <w:r>
        <w:separator/>
      </w:r>
    </w:p>
  </w:footnote>
  <w:footnote w:type="continuationSeparator" w:id="0">
    <w:p w:rsidR="00687461" w:rsidRDefault="00687461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9C2"/>
    <w:rsid w:val="000D6E7C"/>
    <w:rsid w:val="000E497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6A0E"/>
    <w:rsid w:val="001F252A"/>
    <w:rsid w:val="001F5968"/>
    <w:rsid w:val="00202479"/>
    <w:rsid w:val="00220D70"/>
    <w:rsid w:val="00222C05"/>
    <w:rsid w:val="002310AA"/>
    <w:rsid w:val="00235E78"/>
    <w:rsid w:val="0026733B"/>
    <w:rsid w:val="00271C40"/>
    <w:rsid w:val="00281A59"/>
    <w:rsid w:val="002C0C0C"/>
    <w:rsid w:val="002D2C8E"/>
    <w:rsid w:val="002F11F3"/>
    <w:rsid w:val="002F2B17"/>
    <w:rsid w:val="00326EB3"/>
    <w:rsid w:val="00327425"/>
    <w:rsid w:val="00335184"/>
    <w:rsid w:val="00342F15"/>
    <w:rsid w:val="00351785"/>
    <w:rsid w:val="003667E0"/>
    <w:rsid w:val="00374D85"/>
    <w:rsid w:val="003B2D5D"/>
    <w:rsid w:val="003B61BC"/>
    <w:rsid w:val="003D6175"/>
    <w:rsid w:val="003E46F1"/>
    <w:rsid w:val="003E784F"/>
    <w:rsid w:val="00403339"/>
    <w:rsid w:val="00403775"/>
    <w:rsid w:val="0041066A"/>
    <w:rsid w:val="004249B4"/>
    <w:rsid w:val="00457382"/>
    <w:rsid w:val="00457B41"/>
    <w:rsid w:val="00494D41"/>
    <w:rsid w:val="004A5F20"/>
    <w:rsid w:val="004D6D1D"/>
    <w:rsid w:val="004E03DD"/>
    <w:rsid w:val="004F4160"/>
    <w:rsid w:val="0052407A"/>
    <w:rsid w:val="00550F2B"/>
    <w:rsid w:val="00563038"/>
    <w:rsid w:val="00563962"/>
    <w:rsid w:val="00564F81"/>
    <w:rsid w:val="00570412"/>
    <w:rsid w:val="00587EC1"/>
    <w:rsid w:val="005959C2"/>
    <w:rsid w:val="005A2A0D"/>
    <w:rsid w:val="005A3DA8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87461"/>
    <w:rsid w:val="00695619"/>
    <w:rsid w:val="006D0F40"/>
    <w:rsid w:val="006D3A0D"/>
    <w:rsid w:val="00705933"/>
    <w:rsid w:val="0071166B"/>
    <w:rsid w:val="00754B52"/>
    <w:rsid w:val="00773F2E"/>
    <w:rsid w:val="00781184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37C58"/>
    <w:rsid w:val="00846EB9"/>
    <w:rsid w:val="0086609E"/>
    <w:rsid w:val="00872A85"/>
    <w:rsid w:val="00896D8E"/>
    <w:rsid w:val="008975A0"/>
    <w:rsid w:val="008B6F1C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C6799"/>
    <w:rsid w:val="00BD2320"/>
    <w:rsid w:val="00BD3E6B"/>
    <w:rsid w:val="00BE5CE3"/>
    <w:rsid w:val="00C16027"/>
    <w:rsid w:val="00C31DE2"/>
    <w:rsid w:val="00C34454"/>
    <w:rsid w:val="00C40821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77995"/>
    <w:rsid w:val="00D9501B"/>
    <w:rsid w:val="00DA3B03"/>
    <w:rsid w:val="00DC0ACF"/>
    <w:rsid w:val="00DE3405"/>
    <w:rsid w:val="00E03127"/>
    <w:rsid w:val="00E22FA3"/>
    <w:rsid w:val="00E321D4"/>
    <w:rsid w:val="00E32A87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51F"/>
    <w:rsid w:val="00EB5DE7"/>
    <w:rsid w:val="00EC3CFC"/>
    <w:rsid w:val="00EC777C"/>
    <w:rsid w:val="00EE0328"/>
    <w:rsid w:val="00EE45C3"/>
    <w:rsid w:val="00F11136"/>
    <w:rsid w:val="00F13F23"/>
    <w:rsid w:val="00F704BA"/>
    <w:rsid w:val="00F71A0E"/>
    <w:rsid w:val="00F75440"/>
    <w:rsid w:val="00F810C5"/>
    <w:rsid w:val="00F87627"/>
    <w:rsid w:val="00F90922"/>
    <w:rsid w:val="00F937AE"/>
    <w:rsid w:val="00FA0899"/>
    <w:rsid w:val="00FB048A"/>
    <w:rsid w:val="00FB43BE"/>
    <w:rsid w:val="00FC66DC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1F23"/>
  <w15:docId w15:val="{46EE14F1-3730-4214-95A1-705FDF4F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84"/>
  </w:style>
  <w:style w:type="paragraph" w:styleId="Footer">
    <w:name w:val="footer"/>
    <w:basedOn w:val="Normal"/>
    <w:link w:val="FooterChar"/>
    <w:uiPriority w:val="99"/>
    <w:unhideWhenUsed/>
    <w:rsid w:val="0078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litsa.Dimitrova@mfa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ya.Nachev@mfa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ulgarian.Development.Aid.Tbilisi@mfa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790101C6-69A0-47BA-B411-7A6FA8BD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Потребител на Windows</cp:lastModifiedBy>
  <cp:revision>5</cp:revision>
  <cp:lastPrinted>2019-03-21T14:53:00Z</cp:lastPrinted>
  <dcterms:created xsi:type="dcterms:W3CDTF">2022-05-16T08:11:00Z</dcterms:created>
  <dcterms:modified xsi:type="dcterms:W3CDTF">2022-05-16T08:30:00Z</dcterms:modified>
</cp:coreProperties>
</file>