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938E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938E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938E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938E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938E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938E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9E6EC67" w:rsidR="00546DB1" w:rsidRPr="00546DB1" w:rsidRDefault="003118B2" w:rsidP="00AB56F9">
                <w:pPr>
                  <w:tabs>
                    <w:tab w:val="left" w:pos="426"/>
                  </w:tabs>
                  <w:spacing w:before="120"/>
                  <w:rPr>
                    <w:bCs/>
                    <w:lang w:val="en-IE" w:eastAsia="en-GB"/>
                  </w:rPr>
                </w:pPr>
                <w:r>
                  <w:rPr>
                    <w:bCs/>
                    <w:lang w:eastAsia="en-GB"/>
                  </w:rPr>
                  <w:t>INTPA.E-2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B6C0FDB" w:rsidR="00546DB1" w:rsidRPr="003B2E38" w:rsidRDefault="0001130C" w:rsidP="00AB56F9">
                <w:pPr>
                  <w:tabs>
                    <w:tab w:val="left" w:pos="426"/>
                  </w:tabs>
                  <w:spacing w:before="120"/>
                  <w:rPr>
                    <w:bCs/>
                    <w:lang w:val="en-IE" w:eastAsia="en-GB"/>
                  </w:rPr>
                </w:pPr>
                <w:r>
                  <w:rPr>
                    <w:bCs/>
                    <w:lang w:eastAsia="en-GB"/>
                  </w:rPr>
                  <w:t>491502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2E819E6" w:rsidR="00546DB1" w:rsidRPr="003938EB" w:rsidRDefault="003118B2" w:rsidP="00AB56F9">
                <w:pPr>
                  <w:tabs>
                    <w:tab w:val="left" w:pos="426"/>
                  </w:tabs>
                  <w:spacing w:before="120"/>
                  <w:rPr>
                    <w:bCs/>
                    <w:lang w:val="pt-PT" w:eastAsia="en-GB"/>
                  </w:rPr>
                </w:pPr>
                <w:r>
                  <w:rPr>
                    <w:bCs/>
                    <w:lang w:eastAsia="en-GB"/>
                  </w:rPr>
                  <w:t>Paz VELASCO VELAZQUEZ</w:t>
                </w:r>
              </w:p>
            </w:sdtContent>
          </w:sdt>
          <w:p w14:paraId="227D6F6E" w14:textId="063BDDF0" w:rsidR="00546DB1" w:rsidRPr="009F216F" w:rsidRDefault="003938E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118B2">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118B2">
                      <w:rPr>
                        <w:bCs/>
                        <w:lang w:eastAsia="en-GB"/>
                      </w:rPr>
                      <w:t>2025</w:t>
                    </w:r>
                  </w:sdtContent>
                </w:sdt>
              </w:sdtContent>
            </w:sdt>
          </w:p>
          <w:p w14:paraId="4128A55A" w14:textId="4140CCA2" w:rsidR="00546DB1" w:rsidRPr="00546DB1" w:rsidRDefault="003938E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118B2">
                  <w:rPr>
                    <w:bCs/>
                    <w:lang w:eastAsia="en-GB"/>
                  </w:rPr>
                  <w:t>1</w:t>
                </w:r>
              </w:sdtContent>
            </w:sdt>
            <w:r w:rsidR="00546DB1" w:rsidRPr="00546DB1">
              <w:rPr>
                <w:bCs/>
                <w:lang w:eastAsia="en-GB"/>
              </w:rPr>
              <w:t xml:space="preserve"> </w:t>
            </w:r>
            <w:r w:rsidR="00546DB1">
              <w:rPr>
                <w:bCs/>
                <w:lang w:eastAsia="en-GB"/>
              </w:rPr>
              <w:t>Jahr</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118B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97709F2"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6A37ADE"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938E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938E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938E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6C5D6F9"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F4FC809"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D8EE1D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3938EB">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347B8" w:rsidRDefault="00803007" w:rsidP="007C07D8">
      <w:pPr>
        <w:pStyle w:val="ListNumber"/>
        <w:numPr>
          <w:ilvl w:val="0"/>
          <w:numId w:val="0"/>
        </w:numPr>
        <w:ind w:left="709" w:hanging="709"/>
        <w:rPr>
          <w:lang w:val="nl-NL" w:eastAsia="en-GB"/>
        </w:rPr>
      </w:pPr>
      <w:r w:rsidRPr="00B347B8">
        <w:rPr>
          <w:b/>
          <w:bCs/>
          <w:lang w:val="nl-NL" w:eastAsia="en-GB"/>
        </w:rPr>
        <w:t>Wer wi</w:t>
      </w:r>
      <w:r w:rsidR="002F7504" w:rsidRPr="00B347B8">
        <w:rPr>
          <w:b/>
          <w:bCs/>
          <w:lang w:val="nl-NL" w:eastAsia="en-GB"/>
        </w:rPr>
        <w:t>r</w:t>
      </w:r>
      <w:r w:rsidRPr="00B347B8">
        <w:rPr>
          <w:b/>
          <w:bCs/>
          <w:lang w:val="nl-NL" w:eastAsia="en-GB"/>
        </w:rPr>
        <w:t xml:space="preserve"> sind</w:t>
      </w:r>
    </w:p>
    <w:sdt>
      <w:sdtPr>
        <w:rPr>
          <w:lang w:val="en-US" w:eastAsia="en-GB"/>
        </w:rPr>
        <w:id w:val="1822233941"/>
        <w:placeholder>
          <w:docPart w:val="FE6C9874556B47B1A65A432926DB0BCE"/>
        </w:placeholder>
      </w:sdtPr>
      <w:sdtEndPr/>
      <w:sdtContent>
        <w:p w14:paraId="76DD1EEA" w14:textId="329BB9D4" w:rsidR="00803007" w:rsidRPr="00327A0E" w:rsidRDefault="00327A0E" w:rsidP="003118B2">
          <w:pPr>
            <w:rPr>
              <w:lang w:val="nl-NL" w:eastAsia="en-GB"/>
            </w:rPr>
          </w:pPr>
          <w:r w:rsidRPr="00327A0E">
            <w:rPr>
              <w:lang w:val="nl-NL" w:eastAsia="en-GB"/>
            </w:rPr>
            <w:t xml:space="preserve">Unit E2 ist das thematische Referat für Investitionsklima, Wertschöpfungsketten, einschließlich kritischer Rohstoffe, und Handel. Als thematisches Referat koordinieren wir </w:t>
          </w:r>
          <w:r w:rsidRPr="00327A0E">
            <w:rPr>
              <w:lang w:val="nl-NL" w:eastAsia="en-GB"/>
            </w:rPr>
            <w:lastRenderedPageBreak/>
            <w:t>die INTPA-Politiken zu diesen Themen und unterstützen die geografischen Referate bei der Gestaltung von Projekten und Programmen. Darüber hinaus vertreten wir die Generaldirektion in internationalen Organisationen wie der OECD, der WTO und in zwischenstaatlichen Foren.</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rPr>
          <w:b/>
          <w:bCs/>
          <w:highlight w:val="yellow"/>
          <w:lang w:val="de-DE"/>
        </w:rPr>
      </w:sdtEndPr>
      <w:sdtContent>
        <w:p w14:paraId="221E4883" w14:textId="0EEBBFC9" w:rsidR="00803007" w:rsidRPr="00BC4AE6" w:rsidRDefault="00327A0E" w:rsidP="00BC4AE6">
          <w:pPr>
            <w:rPr>
              <w:lang w:val="nl-NL" w:eastAsia="en-GB"/>
            </w:rPr>
          </w:pPr>
          <w:r w:rsidRPr="00327A0E">
            <w:rPr>
              <w:lang w:eastAsia="en-GB"/>
            </w:rPr>
            <w:t xml:space="preserve">Wir bieten eine Stelle als Referent:in für Politik im INTPA-Referat an, das für Investitionsklima, Handel, Unternehmertum und Wertschöpfungsketten zuständig ist. Der/die Kandidat:in wird zur Politikformulierung und zur Gestaltung von Maßnahmen im Bereich kritischer Rohstoffe (CRM) im Rahmen der Global Gateway-Strategie beitragen. Der/die Kandidat:in wird sich mit relevanten Themen zur Erreichung von Global Gateway befassen, wie z.B. der Bereitstellung von Finanzanalysen für CRM-Projekte (Risikobewertung, ESG-Compliance, Bankfähigkeit) und der Koordination mit EU-Mitgliedstaaten im Geiste von Team Europe. </w:t>
          </w:r>
          <w:r w:rsidRPr="00327A0E">
            <w:rPr>
              <w:lang w:val="nl-NL" w:eastAsia="en-GB"/>
            </w:rPr>
            <w:t>Zudem wird der/die Kandidat:in den Dialog mit verschiedenen Interessengruppen führen, darunter Entwicklungsbanken und Exportkreditagenturen sowie die europäischen Delegationen und die Dienstleistungen der Hauptquartiere bei der Gestaltung und Umsetzung von Programmen/Projekten unterstützen und zur Politikformulierung in Bezug auf die Governance des CRM-Sektors beitragen. Der nationale Experte soll seine/ihre Aufgaben unter der Aufsicht eines Beamten der Kommission ausführen.</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highlight w:val="yellow"/>
        </w:rPr>
      </w:sdtEndPr>
      <w:sdtContent>
        <w:p w14:paraId="2A0F153A" w14:textId="2E8A1738" w:rsidR="009321C6" w:rsidRPr="00BC4AE6" w:rsidRDefault="00817A3D" w:rsidP="00B347B8">
          <w:pPr>
            <w:rPr>
              <w:lang w:val="nl-NL" w:eastAsia="en-GB"/>
            </w:rPr>
          </w:pPr>
          <w:r w:rsidRPr="00817A3D">
            <w:rPr>
              <w:lang w:val="nl-NL" w:eastAsia="en-GB"/>
            </w:rPr>
            <w:t>Wir suchen eine:n Kandidat:in, der/die Interesse daran hat, der Generaldirektion Internationale Partnerschaften der Kommission beizutreten und bereit ist, eine anspruchsvolle Position in einem dynamischen Team zu übernehmen. Der/die Kandidat:in sollte fließend Englisch sprechen und bereit sein, sich an multikulturelle Umgebungen und Programmmanagement anzupassen und zu lernen. Frühere Erfahrungen in der Arbeit mit kritischen Rohstoffen sowie mit Entwicklungsfinanzierungsinstitutionen und Entwicklungsbanken sind erforderlich.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w:t>
      </w:r>
      <w:r w:rsidRPr="00D605F4">
        <w:rPr>
          <w:lang w:eastAsia="en-GB"/>
        </w:rPr>
        <w:lastRenderedPageBreak/>
        <w:t xml:space="preserve">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130C"/>
    <w:rsid w:val="000331EC"/>
    <w:rsid w:val="000D7B5E"/>
    <w:rsid w:val="001203F8"/>
    <w:rsid w:val="00153EF5"/>
    <w:rsid w:val="00243611"/>
    <w:rsid w:val="002C5752"/>
    <w:rsid w:val="002F7504"/>
    <w:rsid w:val="003118B2"/>
    <w:rsid w:val="00324D8D"/>
    <w:rsid w:val="00327A0E"/>
    <w:rsid w:val="0035094A"/>
    <w:rsid w:val="003874E2"/>
    <w:rsid w:val="00391908"/>
    <w:rsid w:val="0039387D"/>
    <w:rsid w:val="003938EB"/>
    <w:rsid w:val="00394A86"/>
    <w:rsid w:val="003B2E38"/>
    <w:rsid w:val="0043234E"/>
    <w:rsid w:val="004A4F9C"/>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17A3D"/>
    <w:rsid w:val="00833FE7"/>
    <w:rsid w:val="0089735C"/>
    <w:rsid w:val="008D52CF"/>
    <w:rsid w:val="009321C6"/>
    <w:rsid w:val="009442BE"/>
    <w:rsid w:val="009F1926"/>
    <w:rsid w:val="009F216F"/>
    <w:rsid w:val="00A541F6"/>
    <w:rsid w:val="00AB56F9"/>
    <w:rsid w:val="00AC5FF8"/>
    <w:rsid w:val="00AE6941"/>
    <w:rsid w:val="00B347B8"/>
    <w:rsid w:val="00B73B91"/>
    <w:rsid w:val="00BC4AE6"/>
    <w:rsid w:val="00BC578E"/>
    <w:rsid w:val="00BF307D"/>
    <w:rsid w:val="00BF42A1"/>
    <w:rsid w:val="00BF6139"/>
    <w:rsid w:val="00C07259"/>
    <w:rsid w:val="00C27C81"/>
    <w:rsid w:val="00C854AE"/>
    <w:rsid w:val="00CD33B4"/>
    <w:rsid w:val="00D605F4"/>
    <w:rsid w:val="00DA711C"/>
    <w:rsid w:val="00E01792"/>
    <w:rsid w:val="00E03AC2"/>
    <w:rsid w:val="00E35460"/>
    <w:rsid w:val="00EB3060"/>
    <w:rsid w:val="00EC5C6B"/>
    <w:rsid w:val="00ED6452"/>
    <w:rsid w:val="00EE59EC"/>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6110">
      <w:bodyDiv w:val="1"/>
      <w:marLeft w:val="0"/>
      <w:marRight w:val="0"/>
      <w:marTop w:val="0"/>
      <w:marBottom w:val="0"/>
      <w:divBdr>
        <w:top w:val="none" w:sz="0" w:space="0" w:color="auto"/>
        <w:left w:val="none" w:sz="0" w:space="0" w:color="auto"/>
        <w:bottom w:val="none" w:sz="0" w:space="0" w:color="auto"/>
        <w:right w:val="none" w:sz="0" w:space="0" w:color="auto"/>
      </w:divBdr>
    </w:div>
    <w:div w:id="169419111">
      <w:bodyDiv w:val="1"/>
      <w:marLeft w:val="0"/>
      <w:marRight w:val="0"/>
      <w:marTop w:val="0"/>
      <w:marBottom w:val="0"/>
      <w:divBdr>
        <w:top w:val="none" w:sz="0" w:space="0" w:color="auto"/>
        <w:left w:val="none" w:sz="0" w:space="0" w:color="auto"/>
        <w:bottom w:val="none" w:sz="0" w:space="0" w:color="auto"/>
        <w:right w:val="none" w:sz="0" w:space="0" w:color="auto"/>
      </w:divBdr>
    </w:div>
    <w:div w:id="266234139">
      <w:bodyDiv w:val="1"/>
      <w:marLeft w:val="0"/>
      <w:marRight w:val="0"/>
      <w:marTop w:val="0"/>
      <w:marBottom w:val="0"/>
      <w:divBdr>
        <w:top w:val="none" w:sz="0" w:space="0" w:color="auto"/>
        <w:left w:val="none" w:sz="0" w:space="0" w:color="auto"/>
        <w:bottom w:val="none" w:sz="0" w:space="0" w:color="auto"/>
        <w:right w:val="none" w:sz="0" w:space="0" w:color="auto"/>
      </w:divBdr>
    </w:div>
    <w:div w:id="267853787">
      <w:bodyDiv w:val="1"/>
      <w:marLeft w:val="0"/>
      <w:marRight w:val="0"/>
      <w:marTop w:val="0"/>
      <w:marBottom w:val="0"/>
      <w:divBdr>
        <w:top w:val="none" w:sz="0" w:space="0" w:color="auto"/>
        <w:left w:val="none" w:sz="0" w:space="0" w:color="auto"/>
        <w:bottom w:val="none" w:sz="0" w:space="0" w:color="auto"/>
        <w:right w:val="none" w:sz="0" w:space="0" w:color="auto"/>
      </w:divBdr>
    </w:div>
    <w:div w:id="317003640">
      <w:bodyDiv w:val="1"/>
      <w:marLeft w:val="0"/>
      <w:marRight w:val="0"/>
      <w:marTop w:val="0"/>
      <w:marBottom w:val="0"/>
      <w:divBdr>
        <w:top w:val="none" w:sz="0" w:space="0" w:color="auto"/>
        <w:left w:val="none" w:sz="0" w:space="0" w:color="auto"/>
        <w:bottom w:val="none" w:sz="0" w:space="0" w:color="auto"/>
        <w:right w:val="none" w:sz="0" w:space="0" w:color="auto"/>
      </w:divBdr>
    </w:div>
    <w:div w:id="506482817">
      <w:bodyDiv w:val="1"/>
      <w:marLeft w:val="0"/>
      <w:marRight w:val="0"/>
      <w:marTop w:val="0"/>
      <w:marBottom w:val="0"/>
      <w:divBdr>
        <w:top w:val="none" w:sz="0" w:space="0" w:color="auto"/>
        <w:left w:val="none" w:sz="0" w:space="0" w:color="auto"/>
        <w:bottom w:val="none" w:sz="0" w:space="0" w:color="auto"/>
        <w:right w:val="none" w:sz="0" w:space="0" w:color="auto"/>
      </w:divBdr>
    </w:div>
    <w:div w:id="576480591">
      <w:bodyDiv w:val="1"/>
      <w:marLeft w:val="0"/>
      <w:marRight w:val="0"/>
      <w:marTop w:val="0"/>
      <w:marBottom w:val="0"/>
      <w:divBdr>
        <w:top w:val="none" w:sz="0" w:space="0" w:color="auto"/>
        <w:left w:val="none" w:sz="0" w:space="0" w:color="auto"/>
        <w:bottom w:val="none" w:sz="0" w:space="0" w:color="auto"/>
        <w:right w:val="none" w:sz="0" w:space="0" w:color="auto"/>
      </w:divBdr>
    </w:div>
    <w:div w:id="801505559">
      <w:bodyDiv w:val="1"/>
      <w:marLeft w:val="0"/>
      <w:marRight w:val="0"/>
      <w:marTop w:val="0"/>
      <w:marBottom w:val="0"/>
      <w:divBdr>
        <w:top w:val="none" w:sz="0" w:space="0" w:color="auto"/>
        <w:left w:val="none" w:sz="0" w:space="0" w:color="auto"/>
        <w:bottom w:val="none" w:sz="0" w:space="0" w:color="auto"/>
        <w:right w:val="none" w:sz="0" w:space="0" w:color="auto"/>
      </w:divBdr>
    </w:div>
    <w:div w:id="897130803">
      <w:bodyDiv w:val="1"/>
      <w:marLeft w:val="0"/>
      <w:marRight w:val="0"/>
      <w:marTop w:val="0"/>
      <w:marBottom w:val="0"/>
      <w:divBdr>
        <w:top w:val="none" w:sz="0" w:space="0" w:color="auto"/>
        <w:left w:val="none" w:sz="0" w:space="0" w:color="auto"/>
        <w:bottom w:val="none" w:sz="0" w:space="0" w:color="auto"/>
        <w:right w:val="none" w:sz="0" w:space="0" w:color="auto"/>
      </w:divBdr>
    </w:div>
    <w:div w:id="959610083">
      <w:bodyDiv w:val="1"/>
      <w:marLeft w:val="0"/>
      <w:marRight w:val="0"/>
      <w:marTop w:val="0"/>
      <w:marBottom w:val="0"/>
      <w:divBdr>
        <w:top w:val="none" w:sz="0" w:space="0" w:color="auto"/>
        <w:left w:val="none" w:sz="0" w:space="0" w:color="auto"/>
        <w:bottom w:val="none" w:sz="0" w:space="0" w:color="auto"/>
        <w:right w:val="none" w:sz="0" w:space="0" w:color="auto"/>
      </w:divBdr>
    </w:div>
    <w:div w:id="1920213337">
      <w:bodyDiv w:val="1"/>
      <w:marLeft w:val="0"/>
      <w:marRight w:val="0"/>
      <w:marTop w:val="0"/>
      <w:marBottom w:val="0"/>
      <w:divBdr>
        <w:top w:val="none" w:sz="0" w:space="0" w:color="auto"/>
        <w:left w:val="none" w:sz="0" w:space="0" w:color="auto"/>
        <w:bottom w:val="none" w:sz="0" w:space="0" w:color="auto"/>
        <w:right w:val="none" w:sz="0" w:space="0" w:color="auto"/>
      </w:divBdr>
    </w:div>
    <w:div w:id="1937326387">
      <w:bodyDiv w:val="1"/>
      <w:marLeft w:val="0"/>
      <w:marRight w:val="0"/>
      <w:marTop w:val="0"/>
      <w:marBottom w:val="0"/>
      <w:divBdr>
        <w:top w:val="none" w:sz="0" w:space="0" w:color="auto"/>
        <w:left w:val="none" w:sz="0" w:space="0" w:color="auto"/>
        <w:bottom w:val="none" w:sz="0" w:space="0" w:color="auto"/>
        <w:right w:val="none" w:sz="0" w:space="0" w:color="auto"/>
      </w:divBdr>
    </w:div>
    <w:div w:id="2072656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43611"/>
    <w:rsid w:val="0043234E"/>
    <w:rsid w:val="004A4F9C"/>
    <w:rsid w:val="0056186B"/>
    <w:rsid w:val="00723B02"/>
    <w:rsid w:val="00897026"/>
    <w:rsid w:val="008A7C76"/>
    <w:rsid w:val="008C406B"/>
    <w:rsid w:val="008D04E3"/>
    <w:rsid w:val="00A71FAD"/>
    <w:rsid w:val="00B21BDA"/>
    <w:rsid w:val="00BF42A1"/>
    <w:rsid w:val="00C854AE"/>
    <w:rsid w:val="00DB168D"/>
    <w:rsid w:val="00E32AF1"/>
    <w:rsid w:val="00EE59EC"/>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264AC718-AF23-442A-92F5-08EA22515F3E}">
  <ds:schemaRefs>
    <ds:schemaRef ds:uri="http://schemas.microsoft.com/office/2006/documentManagement/types"/>
    <ds:schemaRef ds:uri="http://schemas.microsoft.com/office/infopath/2007/PartnerControls"/>
    <ds:schemaRef ds:uri="http://purl.org/dc/dcmitype/"/>
    <ds:schemaRef ds:uri="http://purl.org/dc/elements/1.1/"/>
    <ds:schemaRef ds:uri="http://purl.org/dc/terms/"/>
    <ds:schemaRef ds:uri="http://schemas.openxmlformats.org/package/2006/metadata/core-properties"/>
    <ds:schemaRef ds:uri="http://schemas.microsoft.com/office/2006/metadata/properties"/>
    <ds:schemaRef ds:uri="30c666ed-fe46-43d6-bf30-6de2567680e6"/>
    <ds:schemaRef ds:uri="http://www.w3.org/XML/1998/namespace"/>
  </ds:schemaRefs>
</ds:datastoreItem>
</file>

<file path=customXml/itemProps6.xml><?xml version="1.0" encoding="utf-8"?>
<ds:datastoreItem xmlns:ds="http://schemas.openxmlformats.org/officeDocument/2006/customXml" ds:itemID="{244F88AD-D8BE-42BD-9E18-DFB28BDC9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29</TotalTime>
  <Pages>4</Pages>
  <Words>1065</Words>
  <Characters>6076</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dcterms:created xsi:type="dcterms:W3CDTF">2025-06-06T09:54:00Z</dcterms:created>
  <dcterms:modified xsi:type="dcterms:W3CDTF">2025-06-11T11:43:00Z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