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862781">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862781">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862781">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862781">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862781">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862781"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729989648"/>
                <w:placeholder>
                  <w:docPart w:val="11071AB203214DF6A87BDCC75C03557E"/>
                </w:placeholder>
              </w:sdtPr>
              <w:sdtEndPr>
                <w:rPr>
                  <w:lang w:val="en-IE"/>
                </w:rPr>
              </w:sdtEndPr>
              <w:sdtContent>
                <w:tc>
                  <w:tcPr>
                    <w:tcW w:w="5491" w:type="dxa"/>
                  </w:tcPr>
                  <w:p w14:paraId="163192D7" w14:textId="4D081996" w:rsidR="00546DB1" w:rsidRPr="00546DB1" w:rsidRDefault="00C95F68" w:rsidP="00AB56F9">
                    <w:pPr>
                      <w:tabs>
                        <w:tab w:val="left" w:pos="426"/>
                      </w:tabs>
                      <w:spacing w:before="120"/>
                      <w:rPr>
                        <w:bCs/>
                        <w:lang w:val="en-IE" w:eastAsia="en-GB"/>
                      </w:rPr>
                    </w:pPr>
                    <w:r>
                      <w:rPr>
                        <w:bCs/>
                        <w:lang w:val="en-IE" w:eastAsia="en-GB"/>
                      </w:rPr>
                      <w:t>RTD.G.1</w:t>
                    </w:r>
                  </w:p>
                </w:tc>
              </w:sdtContent>
            </w:sdt>
          </w:sdtContent>
        </w:sdt>
      </w:tr>
      <w:tr w:rsidR="00546DB1" w:rsidRPr="00C95F68"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61B52AEE" w:rsidR="00546DB1" w:rsidRPr="003B2E38" w:rsidRDefault="00862781" w:rsidP="00AB56F9">
                <w:pPr>
                  <w:tabs>
                    <w:tab w:val="left" w:pos="426"/>
                  </w:tabs>
                  <w:spacing w:before="120"/>
                  <w:rPr>
                    <w:bCs/>
                    <w:lang w:val="en-IE" w:eastAsia="en-GB"/>
                  </w:rPr>
                </w:pPr>
                <w:sdt>
                  <w:sdtPr>
                    <w:rPr>
                      <w:bCs/>
                      <w:lang w:val="en-IE" w:eastAsia="en-GB"/>
                    </w:rPr>
                    <w:id w:val="1996767080"/>
                    <w:placeholder>
                      <w:docPart w:val="081A051E7AAB4A2492B43F57BD080229"/>
                    </w:placeholder>
                  </w:sdtPr>
                  <w:sdtEndPr/>
                  <w:sdtContent>
                    <w:r w:rsidR="00C95F68" w:rsidRPr="00ED7653">
                      <w:rPr>
                        <w:bCs/>
                        <w:lang w:eastAsia="en-GB"/>
                      </w:rPr>
                      <w:t>318021</w:t>
                    </w:r>
                  </w:sdtContent>
                </w:sdt>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val="en-IE" w:eastAsia="en-GB"/>
                  </w:rPr>
                  <w:id w:val="-873469679"/>
                  <w:placeholder>
                    <w:docPart w:val="B50729145B764BC69F4D85F0531B32A5"/>
                  </w:placeholder>
                </w:sdtPr>
                <w:sdtEndPr/>
                <w:sdtContent>
                  <w:p w14:paraId="48F140A4" w14:textId="6672CB42" w:rsidR="00C95F68" w:rsidRPr="00ED7653" w:rsidRDefault="00C95F68" w:rsidP="00C95F68">
                    <w:pPr>
                      <w:tabs>
                        <w:tab w:val="left" w:pos="426"/>
                      </w:tabs>
                      <w:spacing w:after="0"/>
                      <w:rPr>
                        <w:bCs/>
                        <w:lang w:val="fr-BE" w:eastAsia="en-GB"/>
                      </w:rPr>
                    </w:pPr>
                    <w:r w:rsidRPr="00ED7653">
                      <w:rPr>
                        <w:bCs/>
                        <w:lang w:val="fr-BE" w:eastAsia="en-GB"/>
                      </w:rPr>
                      <w:t xml:space="preserve">Paolo PASIMENI - </w:t>
                    </w:r>
                    <w:hyperlink r:id="rId15" w:history="1">
                      <w:r w:rsidRPr="003E24D0">
                        <w:rPr>
                          <w:rStyle w:val="Hyperlink"/>
                          <w:bCs/>
                          <w:lang w:val="fr-BE" w:eastAsia="en-GB"/>
                        </w:rPr>
                        <w:t>Paolo.PASIMENI@ec.europa.eu</w:t>
                      </w:r>
                    </w:hyperlink>
                  </w:p>
                  <w:p w14:paraId="65EBCF52" w14:textId="552FDDDD" w:rsidR="00546DB1" w:rsidRPr="003B2E38" w:rsidRDefault="00C95F68" w:rsidP="00C95F68">
                    <w:pPr>
                      <w:tabs>
                        <w:tab w:val="left" w:pos="426"/>
                      </w:tabs>
                      <w:spacing w:after="0"/>
                      <w:rPr>
                        <w:bCs/>
                        <w:lang w:val="en-IE" w:eastAsia="en-GB"/>
                      </w:rPr>
                    </w:pPr>
                    <w:r>
                      <w:rPr>
                        <w:bCs/>
                        <w:lang w:val="en-IE" w:eastAsia="en-GB"/>
                      </w:rPr>
                      <w:t xml:space="preserve">Tel: </w:t>
                    </w:r>
                    <w:r w:rsidRPr="00ED7653">
                      <w:rPr>
                        <w:bCs/>
                        <w:lang w:val="en-IE" w:eastAsia="en-GB"/>
                      </w:rPr>
                      <w:t>+32 229-99078</w:t>
                    </w:r>
                  </w:p>
                </w:sdtContent>
              </w:sdt>
            </w:sdtContent>
          </w:sdt>
          <w:p w14:paraId="227D6F6E" w14:textId="0F7CD185" w:rsidR="00546DB1" w:rsidRPr="009F216F" w:rsidRDefault="00C95F68" w:rsidP="00C95F68">
            <w:pPr>
              <w:tabs>
                <w:tab w:val="left" w:pos="426"/>
              </w:tabs>
              <w:spacing w:before="80" w:after="0"/>
              <w:rPr>
                <w:bCs/>
                <w:lang w:eastAsia="en-GB"/>
              </w:rPr>
            </w:pPr>
            <w:r>
              <w:rPr>
                <w:bCs/>
                <w:lang w:eastAsia="en-GB"/>
              </w:rPr>
              <w:t>4.</w:t>
            </w:r>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Pr>
                        <w:bCs/>
                        <w:lang w:eastAsia="en-GB"/>
                      </w:rPr>
                      <w:t>2025</w:t>
                    </w:r>
                  </w:sdtContent>
                </w:sdt>
              </w:sdtContent>
            </w:sdt>
          </w:p>
          <w:p w14:paraId="4F5C5818" w14:textId="3B013588" w:rsidR="00546DB1" w:rsidRPr="00546DB1" w:rsidRDefault="00C95F68" w:rsidP="003E24D0">
            <w:pPr>
              <w:tabs>
                <w:tab w:val="left" w:pos="426"/>
              </w:tabs>
              <w:contextualSpacing/>
              <w:jc w:val="left"/>
              <w:rPr>
                <w:bCs/>
                <w:lang w:eastAsia="en-GB"/>
              </w:rPr>
            </w:pPr>
            <w:r>
              <w:rPr>
                <w:bCs/>
                <w:lang w:eastAsia="en-GB"/>
              </w:rPr>
              <w:t>2</w:t>
            </w:r>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4F0B839E" w:rsidR="002C5752" w:rsidRPr="0007110E" w:rsidRDefault="002C5752" w:rsidP="000675FD">
            <w:pPr>
              <w:tabs>
                <w:tab w:val="left" w:pos="426"/>
              </w:tabs>
              <w:spacing w:before="120"/>
              <w:rPr>
                <w:bCs/>
                <w:lang w:val="en-IE" w:eastAsia="en-GB"/>
              </w:rPr>
            </w:pPr>
            <w:r>
              <w:rPr>
                <w:bCs/>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6" o:title=""/>
                </v:shape>
                <w:control r:id="rId17" w:name="OptionButton6" w:shapeid="_x0000_i1037"/>
              </w:object>
            </w:r>
            <w:r>
              <w:rPr>
                <w:bCs/>
                <w:lang w:val="en-GB" w:eastAsia="en-GB"/>
              </w:rPr>
              <w:object w:dxaOrig="225" w:dyaOrig="225" w14:anchorId="28F21F18">
                <v:shape id="_x0000_i1039" type="#_x0000_t75" style="width:159pt;height:21.75pt" o:ole="">
                  <v:imagedata r:id="rId18" o:title=""/>
                </v:shape>
                <w:control r:id="rId19"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12A00AE1" w:rsidR="002C5752" w:rsidRDefault="002C5752" w:rsidP="000675FD">
            <w:pPr>
              <w:tabs>
                <w:tab w:val="left" w:pos="426"/>
              </w:tabs>
              <w:contextualSpacing/>
              <w:rPr>
                <w:bCs/>
                <w:szCs w:val="24"/>
                <w:lang w:eastAsia="en-GB"/>
              </w:rPr>
            </w:pPr>
            <w:r>
              <w:rPr>
                <w:bCs/>
                <w:lang w:val="en-GB" w:eastAsia="en-GB"/>
              </w:rPr>
              <w:object w:dxaOrig="225" w:dyaOrig="225" w14:anchorId="6B9FB422">
                <v:shape id="_x0000_i1041" type="#_x0000_t75" style="width:241.5pt;height:21.75pt" o:ole="">
                  <v:imagedata r:id="rId20" o:title=""/>
                </v:shape>
                <w:control r:id="rId21"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862781"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862781"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862781"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2E4EED12" w:rsidR="002C5752" w:rsidRPr="00C27C81" w:rsidRDefault="002C5752" w:rsidP="00AB56F9">
            <w:pPr>
              <w:tabs>
                <w:tab w:val="left" w:pos="426"/>
              </w:tabs>
              <w:spacing w:after="120"/>
              <w:rPr>
                <w:bCs/>
                <w:lang w:eastAsia="en-GB"/>
              </w:rPr>
            </w:pPr>
            <w:r>
              <w:rPr>
                <w:bCs/>
                <w:lang w:val="en-GB" w:eastAsia="en-GB"/>
              </w:rPr>
              <w:object w:dxaOrig="225" w:dyaOrig="225" w14:anchorId="68CE6313">
                <v:shape id="_x0000_i1043" type="#_x0000_t75" style="width:419.25pt;height:37.5pt" o:ole="">
                  <v:imagedata r:id="rId22" o:title=""/>
                </v:shape>
                <w:control r:id="rId23"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15979ED1" w:rsidR="002C5752" w:rsidRDefault="002C5752" w:rsidP="000675FD">
            <w:pPr>
              <w:tabs>
                <w:tab w:val="left" w:pos="426"/>
              </w:tabs>
              <w:spacing w:before="120" w:after="120"/>
              <w:rPr>
                <w:bCs/>
                <w:szCs w:val="24"/>
                <w:lang w:val="en-GB" w:eastAsia="en-GB"/>
              </w:rPr>
            </w:pPr>
            <w:r>
              <w:rPr>
                <w:bCs/>
                <w:lang w:val="en-GB" w:eastAsia="en-GB"/>
              </w:rPr>
              <w:object w:dxaOrig="225" w:dyaOrig="225" w14:anchorId="50BBD14E">
                <v:shape id="_x0000_i1045" type="#_x0000_t75" style="width:108pt;height:21.75pt" o:ole="">
                  <v:imagedata r:id="rId24" o:title=""/>
                </v:shape>
                <w:control r:id="rId25" w:name="OptionButton2" w:shapeid="_x0000_i1045"/>
              </w:object>
            </w:r>
            <w:r>
              <w:rPr>
                <w:bCs/>
                <w:lang w:val="en-GB" w:eastAsia="en-GB"/>
              </w:rPr>
              <w:object w:dxaOrig="225" w:dyaOrig="225" w14:anchorId="50596B69">
                <v:shape id="_x0000_i1047" type="#_x0000_t75" style="width:108pt;height:21.75pt" o:ole="">
                  <v:imagedata r:id="rId26" o:title=""/>
                </v:shape>
                <w:control r:id="rId27" w:name="OptionButton3" w:shapeid="_x0000_i1047"/>
              </w:object>
            </w:r>
          </w:p>
          <w:p w14:paraId="1CC7C8D1" w14:textId="5704D452"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5-07-25T00:00:00Z">
                  <w:dateFormat w:val="dd-MM-yyyy"/>
                  <w:lid w:val="fr-BE"/>
                  <w:storeMappedDataAs w:val="dateTime"/>
                  <w:calendar w:val="gregorian"/>
                </w:date>
              </w:sdtPr>
              <w:sdtEndPr/>
              <w:sdtContent>
                <w:r w:rsidR="00862781">
                  <w:rPr>
                    <w:bCs/>
                    <w:lang w:val="fr-BE" w:eastAsia="en-GB"/>
                  </w:rPr>
                  <w:t>25-07-2025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sz w:val="24"/>
          <w:szCs w:val="20"/>
          <w:lang w:val="de-DE" w:eastAsia="en-GB"/>
        </w:rPr>
        <w:id w:val="1822233941"/>
        <w:placeholder>
          <w:docPart w:val="FE6C9874556B47B1A65A432926DB0BCE"/>
        </w:placeholder>
      </w:sdtPr>
      <w:sdtEndPr>
        <w:rPr>
          <w:szCs w:val="24"/>
        </w:rPr>
      </w:sdtEndPr>
      <w:sdtContent>
        <w:p w14:paraId="165E6C40" w14:textId="77777777" w:rsidR="00C95F68" w:rsidRPr="00C95F68" w:rsidRDefault="00C95F68" w:rsidP="00C95F68">
          <w:pPr>
            <w:pStyle w:val="BodyText"/>
            <w:spacing w:before="92"/>
            <w:ind w:left="284" w:right="105"/>
            <w:jc w:val="both"/>
            <w:rPr>
              <w:sz w:val="24"/>
              <w:szCs w:val="24"/>
              <w:lang w:val="de-DE"/>
            </w:rPr>
          </w:pPr>
          <w:r w:rsidRPr="00C95F68">
            <w:rPr>
              <w:sz w:val="24"/>
              <w:szCs w:val="24"/>
              <w:lang w:val="de-DE"/>
            </w:rPr>
            <w:t xml:space="preserve">Das Referat RTD.G.1 – Gemeinsamer Dienst für FuI-Strategie und Vorausschau – das Team des Chefökonomen der GD Forschung und Innovation. Das Referat trägt zur Formulierung evidenzbasierter und transformativer Forschungs- und Innovationspolitiken (FuI) bei, um die Wettbewerbsfähigkeit, den Wohlstand und das </w:t>
          </w:r>
          <w:r w:rsidRPr="00C95F68">
            <w:rPr>
              <w:sz w:val="24"/>
              <w:szCs w:val="24"/>
              <w:lang w:val="de-DE"/>
            </w:rPr>
            <w:lastRenderedPageBreak/>
            <w:t xml:space="preserve">Wohlergehen Europas zu steigern. Das Team liefert Belege für den Beitrag von FuI zu den Politiken der Kommission, mit dem Ziel, trade-offs zwischen wirtschaftlichen, sozialen und ökologischen Zielen und der Überschreitung der planetaren Grenzen zu minimieren. Das Referat konzentriert sich auf F&amp;I-Investitionen, Innovationsökonomie und -metriken sowie die ökonomische Analyse von Technologien und Branchen sowie deren Komplexität und Verwandtschaft. Darüber hinaus leitet sie den strategischen Vorausschauprozess für die FuI-Politik und koordiniert Vorausschaustudien im Rahmen des Rahmenvertrags "Foresight on Demand", der von dem Team verwaltet wird, in dem der/die Nationale Experte/Expertin (frz. </w:t>
          </w:r>
          <w:r w:rsidRPr="00C95F68">
            <w:rPr>
              <w:i/>
              <w:iCs/>
              <w:sz w:val="24"/>
              <w:szCs w:val="24"/>
              <w:lang w:val="de-DE"/>
            </w:rPr>
            <w:t>Expert National Détaché</w:t>
          </w:r>
          <w:r w:rsidRPr="00C95F68">
            <w:rPr>
              <w:sz w:val="24"/>
              <w:szCs w:val="24"/>
              <w:lang w:val="de-DE"/>
            </w:rPr>
            <w:t>, fortan “END”) platziert wird. Das Referat G1 fungiert als wirtschaftswissenschaftlicher Dienst der GD Forschung und Innovation und des Common Policy Centre und arbeitet eng mit zahlreichen Partnern im Geiste der Co-Creation zusammen.</w:t>
          </w:r>
        </w:p>
        <w:p w14:paraId="3862387A" w14:textId="0461E7AB" w:rsidR="00803007" w:rsidRPr="003E24D0" w:rsidRDefault="00862781" w:rsidP="003E24D0">
          <w:pPr>
            <w:ind w:left="284"/>
            <w:rPr>
              <w:lang w:val="en-US" w:eastAsia="en-GB"/>
            </w:rPr>
          </w:pPr>
        </w:p>
      </w:sdtContent>
    </w:sdt>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sz w:val="24"/>
          <w:szCs w:val="24"/>
          <w:lang w:val="de-DE" w:eastAsia="en-GB"/>
        </w:rPr>
        <w:id w:val="-723136291"/>
        <w:placeholder>
          <w:docPart w:val="2D9A90DC0280475D996998F2F9FD95D5"/>
        </w:placeholder>
      </w:sdtPr>
      <w:sdtEndPr/>
      <w:sdtContent>
        <w:p w14:paraId="15500080" w14:textId="77777777" w:rsidR="00C95F68" w:rsidRPr="00C95F68" w:rsidRDefault="00C95F68" w:rsidP="00C95F68">
          <w:pPr>
            <w:pStyle w:val="BodyText"/>
            <w:ind w:left="142" w:right="107" w:firstLine="1"/>
            <w:jc w:val="both"/>
            <w:rPr>
              <w:sz w:val="24"/>
              <w:szCs w:val="24"/>
              <w:lang w:val="de-DE"/>
            </w:rPr>
          </w:pPr>
          <w:r w:rsidRPr="00C95F68">
            <w:rPr>
              <w:sz w:val="24"/>
              <w:szCs w:val="24"/>
              <w:lang w:val="de-DE"/>
            </w:rPr>
            <w:t>Unter der Aufsicht eines AD-Mitarbeiters trägt der/die Nationale Experte/Expertin zur Integration der Vorausschau in die FuI-Politik und -Strategie der EU bei. Dies beinhaltet:</w:t>
          </w:r>
        </w:p>
        <w:p w14:paraId="392FFE99" w14:textId="77777777" w:rsidR="00C95F68" w:rsidRPr="00C95F68" w:rsidRDefault="00C95F68" w:rsidP="00C95F68">
          <w:pPr>
            <w:tabs>
              <w:tab w:val="left" w:pos="1520"/>
            </w:tabs>
            <w:spacing w:before="1"/>
            <w:ind w:left="426" w:right="108" w:hanging="283"/>
            <w:rPr>
              <w:szCs w:val="24"/>
            </w:rPr>
          </w:pPr>
        </w:p>
        <w:p w14:paraId="01471418" w14:textId="77777777" w:rsidR="00C95F68" w:rsidRPr="00C95F68" w:rsidRDefault="00C95F68" w:rsidP="00C95F68">
          <w:pPr>
            <w:pStyle w:val="ListParagraph"/>
            <w:numPr>
              <w:ilvl w:val="1"/>
              <w:numId w:val="30"/>
            </w:numPr>
            <w:tabs>
              <w:tab w:val="left" w:pos="1520"/>
            </w:tabs>
            <w:spacing w:before="1" w:after="120"/>
            <w:ind w:left="426" w:right="113" w:hanging="283"/>
            <w:rPr>
              <w:sz w:val="24"/>
              <w:szCs w:val="24"/>
              <w:lang w:val="de-DE"/>
            </w:rPr>
          </w:pPr>
          <w:r w:rsidRPr="00C95F68">
            <w:rPr>
              <w:sz w:val="24"/>
              <w:szCs w:val="24"/>
              <w:lang w:val="de-DE"/>
            </w:rPr>
            <w:t>Beiträge zur Koordinierung und Analyse der Vorausschau in der gesamten Kommission und zur Ausarbeitung vorausschaubasierter Erkenntnisse für die FuI-Politik;</w:t>
          </w:r>
        </w:p>
        <w:p w14:paraId="1EDA8E66" w14:textId="77777777" w:rsidR="00C95F68" w:rsidRPr="00C95F68" w:rsidRDefault="00C95F68" w:rsidP="00C95F68">
          <w:pPr>
            <w:pStyle w:val="ListParagraph"/>
            <w:numPr>
              <w:ilvl w:val="1"/>
              <w:numId w:val="30"/>
            </w:numPr>
            <w:tabs>
              <w:tab w:val="left" w:pos="1520"/>
            </w:tabs>
            <w:spacing w:after="120" w:line="252" w:lineRule="exact"/>
            <w:ind w:left="426" w:hanging="283"/>
            <w:rPr>
              <w:sz w:val="24"/>
              <w:szCs w:val="24"/>
              <w:lang w:val="de-DE"/>
            </w:rPr>
          </w:pPr>
          <w:r w:rsidRPr="00C95F68">
            <w:rPr>
              <w:sz w:val="24"/>
              <w:szCs w:val="24"/>
              <w:lang w:val="de-DE"/>
            </w:rPr>
            <w:t>Das Initiieren und Begleiten von Prognosestudien und Konsultationen sowie zur Analyse und Verbreitung ihrer Ergebnisse im Rahmen der EU-Politik;</w:t>
          </w:r>
        </w:p>
        <w:p w14:paraId="4195A2F1" w14:textId="77777777" w:rsidR="00C95F68" w:rsidRPr="00C95F68" w:rsidRDefault="00C95F68" w:rsidP="00C95F68">
          <w:pPr>
            <w:pStyle w:val="ListParagraph"/>
            <w:numPr>
              <w:ilvl w:val="1"/>
              <w:numId w:val="30"/>
            </w:numPr>
            <w:tabs>
              <w:tab w:val="left" w:pos="1520"/>
            </w:tabs>
            <w:spacing w:after="120" w:line="252" w:lineRule="exact"/>
            <w:ind w:left="426" w:hanging="283"/>
            <w:rPr>
              <w:sz w:val="24"/>
              <w:szCs w:val="24"/>
              <w:lang w:val="de-DE"/>
            </w:rPr>
          </w:pPr>
          <w:r w:rsidRPr="00C95F68">
            <w:rPr>
              <w:sz w:val="24"/>
              <w:szCs w:val="24"/>
              <w:lang w:val="de-DE"/>
            </w:rPr>
            <w:t>Beiträge zur Entwicklung von Zukunftsszenarien und zur Identifizierung der wichtigsten Trends;</w:t>
          </w:r>
        </w:p>
        <w:p w14:paraId="2498CC42" w14:textId="77777777" w:rsidR="00C95F68" w:rsidRPr="00C95F68" w:rsidRDefault="00C95F68" w:rsidP="00C95F68">
          <w:pPr>
            <w:pStyle w:val="ListParagraph"/>
            <w:numPr>
              <w:ilvl w:val="1"/>
              <w:numId w:val="30"/>
            </w:numPr>
            <w:tabs>
              <w:tab w:val="left" w:pos="1520"/>
            </w:tabs>
            <w:spacing w:after="120"/>
            <w:ind w:left="426" w:right="108" w:hanging="283"/>
            <w:rPr>
              <w:sz w:val="24"/>
              <w:szCs w:val="24"/>
              <w:lang w:val="de-DE"/>
            </w:rPr>
          </w:pPr>
          <w:r w:rsidRPr="00C95F68">
            <w:rPr>
              <w:sz w:val="24"/>
              <w:szCs w:val="24"/>
              <w:lang w:val="de-DE"/>
            </w:rPr>
            <w:t>Beobachtung von Trends und Analyse von Entwicklungen in Wissenschaft, Technologie und Innovation sowie in den damit zusammenhängenden Politikbereichen auf EU- und nationaler Ebene;</w:t>
          </w:r>
        </w:p>
        <w:p w14:paraId="14E0D3E6" w14:textId="77777777" w:rsidR="00C95F68" w:rsidRPr="00C95F68" w:rsidRDefault="00C95F68" w:rsidP="00C95F68">
          <w:pPr>
            <w:pStyle w:val="ListParagraph"/>
            <w:numPr>
              <w:ilvl w:val="1"/>
              <w:numId w:val="30"/>
            </w:numPr>
            <w:tabs>
              <w:tab w:val="left" w:pos="1520"/>
            </w:tabs>
            <w:spacing w:after="120"/>
            <w:ind w:left="426" w:right="106" w:hanging="283"/>
            <w:rPr>
              <w:sz w:val="24"/>
              <w:szCs w:val="24"/>
              <w:lang w:val="de-DE"/>
            </w:rPr>
          </w:pPr>
          <w:r w:rsidRPr="00C95F68">
            <w:rPr>
              <w:sz w:val="24"/>
              <w:szCs w:val="24"/>
              <w:lang w:val="de-DE"/>
            </w:rPr>
            <w:t>Internen und externe Kommunikationsaktivitäten, wie z. B. Newslettern, Blogs und Konferenzen;</w:t>
          </w:r>
        </w:p>
        <w:p w14:paraId="102DE2D1" w14:textId="77777777" w:rsidR="00C95F68" w:rsidRPr="00C95F68" w:rsidRDefault="00C95F68" w:rsidP="00C95F68">
          <w:pPr>
            <w:pStyle w:val="ListParagraph"/>
            <w:numPr>
              <w:ilvl w:val="1"/>
              <w:numId w:val="30"/>
            </w:numPr>
            <w:tabs>
              <w:tab w:val="left" w:pos="1520"/>
            </w:tabs>
            <w:spacing w:after="120"/>
            <w:ind w:left="426" w:right="109" w:hanging="283"/>
            <w:rPr>
              <w:sz w:val="24"/>
              <w:szCs w:val="24"/>
              <w:lang w:val="de-DE"/>
            </w:rPr>
          </w:pPr>
          <w:r w:rsidRPr="00C95F68">
            <w:rPr>
              <w:sz w:val="24"/>
              <w:szCs w:val="24"/>
              <w:lang w:val="de-DE"/>
            </w:rPr>
            <w:t>Unterstützung der allgemeinen Arbeit des Referats und anderer Teams innerhalb des Referats, wie z. B. der Teams für Wirtschaft und Politik und Kommunikation.</w:t>
          </w:r>
        </w:p>
        <w:p w14:paraId="12B9C59B" w14:textId="4B63319C" w:rsidR="00803007" w:rsidRPr="00C95F68" w:rsidRDefault="00862781" w:rsidP="00C95F68">
          <w:pPr>
            <w:ind w:left="426" w:hanging="283"/>
            <w:rPr>
              <w:szCs w:val="24"/>
              <w:lang w:eastAsia="en-GB"/>
            </w:rPr>
          </w:pP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sz w:val="24"/>
          <w:szCs w:val="24"/>
          <w:lang w:val="de-DE" w:eastAsia="en-GB"/>
        </w:rPr>
        <w:id w:val="-1767066427"/>
        <w:placeholder>
          <w:docPart w:val="B30E44B90B7F435497E9EE7D5097ED0B"/>
        </w:placeholder>
      </w:sdtPr>
      <w:sdtEndPr>
        <w:rPr>
          <w:szCs w:val="20"/>
        </w:rPr>
      </w:sdtEndPr>
      <w:sdtContent>
        <w:p w14:paraId="4B851257" w14:textId="77777777" w:rsidR="00C95F68" w:rsidRPr="00C95F68" w:rsidRDefault="00C95F68" w:rsidP="00C95F68">
          <w:pPr>
            <w:pStyle w:val="BodyText"/>
            <w:spacing w:before="92" w:after="120" w:line="252" w:lineRule="exact"/>
            <w:ind w:left="426"/>
            <w:rPr>
              <w:sz w:val="24"/>
              <w:szCs w:val="24"/>
              <w:lang w:val="de-DE"/>
            </w:rPr>
          </w:pPr>
          <w:r w:rsidRPr="00C95F68">
            <w:rPr>
              <w:spacing w:val="-2"/>
              <w:sz w:val="24"/>
              <w:szCs w:val="24"/>
              <w:u w:val="single"/>
              <w:lang w:val="de-DE"/>
            </w:rPr>
            <w:t>Diplom</w:t>
          </w:r>
        </w:p>
        <w:p w14:paraId="4B1D7B3B" w14:textId="77777777" w:rsidR="00C95F68" w:rsidRPr="00C95F68" w:rsidRDefault="00C95F68" w:rsidP="00C95F68">
          <w:pPr>
            <w:pStyle w:val="ListParagraph"/>
            <w:numPr>
              <w:ilvl w:val="1"/>
              <w:numId w:val="31"/>
            </w:numPr>
            <w:tabs>
              <w:tab w:val="left" w:pos="1206"/>
            </w:tabs>
            <w:spacing w:line="252" w:lineRule="exact"/>
            <w:ind w:left="426" w:hanging="126"/>
            <w:rPr>
              <w:sz w:val="24"/>
              <w:szCs w:val="24"/>
              <w:lang w:val="de-DE"/>
            </w:rPr>
          </w:pPr>
          <w:r w:rsidRPr="00C95F68">
            <w:rPr>
              <w:sz w:val="24"/>
              <w:szCs w:val="24"/>
              <w:lang w:val="de-DE"/>
            </w:rPr>
            <w:t>Hochschulabschluss</w:t>
          </w:r>
        </w:p>
        <w:p w14:paraId="450D684A" w14:textId="77777777" w:rsidR="00C95F68" w:rsidRPr="00C95F68" w:rsidRDefault="00C95F68" w:rsidP="00C95F68">
          <w:pPr>
            <w:pStyle w:val="ListParagraph"/>
            <w:numPr>
              <w:ilvl w:val="1"/>
              <w:numId w:val="31"/>
            </w:numPr>
            <w:tabs>
              <w:tab w:val="left" w:pos="1206"/>
            </w:tabs>
            <w:spacing w:before="1" w:line="276" w:lineRule="auto"/>
            <w:ind w:left="426" w:right="57" w:hanging="113"/>
            <w:rPr>
              <w:sz w:val="24"/>
              <w:szCs w:val="24"/>
              <w:lang w:val="de-DE"/>
            </w:rPr>
          </w:pPr>
          <w:r w:rsidRPr="00C95F68">
            <w:rPr>
              <w:sz w:val="24"/>
              <w:szCs w:val="24"/>
              <w:lang w:val="de-DE"/>
            </w:rPr>
            <w:t>Berufsausbildung oder gleichwertige Berufserfahrung in den Bereichen: F&amp;E und Innovation, Zukunftsstudien und Vorausschau, Wirtschaft</w:t>
          </w:r>
        </w:p>
        <w:p w14:paraId="2E66C144" w14:textId="77777777" w:rsidR="00C95F68" w:rsidRPr="00C95F68" w:rsidRDefault="00C95F68" w:rsidP="00C95F68">
          <w:pPr>
            <w:pStyle w:val="ListParagraph"/>
            <w:tabs>
              <w:tab w:val="left" w:pos="1206"/>
            </w:tabs>
            <w:spacing w:before="1" w:line="276" w:lineRule="auto"/>
            <w:ind w:left="426" w:right="57" w:firstLine="0"/>
            <w:rPr>
              <w:sz w:val="24"/>
              <w:szCs w:val="24"/>
              <w:lang w:val="de-DE"/>
            </w:rPr>
          </w:pPr>
        </w:p>
        <w:p w14:paraId="37111423" w14:textId="77777777" w:rsidR="00C95F68" w:rsidRPr="00C95F68" w:rsidRDefault="00C95F68" w:rsidP="00C95F68">
          <w:pPr>
            <w:pStyle w:val="BodyText"/>
            <w:spacing w:before="4"/>
            <w:ind w:left="426"/>
            <w:rPr>
              <w:sz w:val="24"/>
              <w:szCs w:val="24"/>
              <w:lang w:val="de-DE"/>
            </w:rPr>
          </w:pPr>
          <w:r w:rsidRPr="00C95F68">
            <w:rPr>
              <w:sz w:val="24"/>
              <w:szCs w:val="24"/>
              <w:u w:val="single"/>
              <w:lang w:val="de-DE"/>
            </w:rPr>
            <w:t>Berufserfahrung</w:t>
          </w:r>
        </w:p>
        <w:p w14:paraId="253E52AA" w14:textId="77777777" w:rsidR="00C95F68" w:rsidRPr="00C95F68" w:rsidRDefault="00C95F68" w:rsidP="00C95F68">
          <w:pPr>
            <w:pStyle w:val="BodyText"/>
            <w:spacing w:before="1"/>
            <w:ind w:left="426"/>
            <w:rPr>
              <w:sz w:val="24"/>
              <w:szCs w:val="24"/>
              <w:lang w:val="de-DE"/>
            </w:rPr>
          </w:pPr>
        </w:p>
        <w:p w14:paraId="62F61654" w14:textId="77777777" w:rsidR="00C95F68" w:rsidRPr="00C95F68" w:rsidRDefault="00C95F68" w:rsidP="00C95F68">
          <w:pPr>
            <w:pStyle w:val="BodyText"/>
            <w:spacing w:before="91"/>
            <w:ind w:left="426" w:right="164"/>
            <w:jc w:val="both"/>
            <w:rPr>
              <w:sz w:val="24"/>
              <w:szCs w:val="24"/>
              <w:lang w:val="de-DE"/>
            </w:rPr>
          </w:pPr>
          <w:r w:rsidRPr="00C95F68">
            <w:rPr>
              <w:sz w:val="24"/>
              <w:szCs w:val="24"/>
              <w:lang w:val="de-DE"/>
            </w:rPr>
            <w:lastRenderedPageBreak/>
            <w:t>Die Expertin/der Experte verfügt über einen multidisziplinären Hintergrund und ein tiefgreifendes Verständnis der Politikgestaltung. Er/sie verfügt über mindestens 2 Jahre Erfahrung in der Politikanalyse. Darüber hinaus wäre eine nachgewiesene Erfahrung in der Vorausschau in Bezug auf die F&amp;I-Politik von großem Vorteil.</w:t>
          </w:r>
        </w:p>
        <w:p w14:paraId="15C374CD" w14:textId="77777777" w:rsidR="00C95F68" w:rsidRPr="00C95F68" w:rsidRDefault="00C95F68" w:rsidP="00C95F68">
          <w:pPr>
            <w:pStyle w:val="BodyText"/>
            <w:spacing w:before="1"/>
            <w:ind w:left="426"/>
            <w:rPr>
              <w:sz w:val="24"/>
              <w:szCs w:val="24"/>
              <w:lang w:val="de-DE"/>
            </w:rPr>
          </w:pPr>
        </w:p>
        <w:p w14:paraId="06649F9D" w14:textId="77777777" w:rsidR="00C95F68" w:rsidRPr="00C95F68" w:rsidRDefault="00C95F68" w:rsidP="00C95F68">
          <w:pPr>
            <w:pStyle w:val="BodyText"/>
            <w:ind w:left="426"/>
            <w:jc w:val="both"/>
            <w:rPr>
              <w:sz w:val="24"/>
              <w:szCs w:val="24"/>
              <w:lang w:val="de-DE"/>
            </w:rPr>
          </w:pPr>
          <w:r w:rsidRPr="00C95F68">
            <w:rPr>
              <w:sz w:val="24"/>
              <w:szCs w:val="24"/>
              <w:u w:val="single"/>
              <w:lang w:val="de-DE"/>
            </w:rPr>
            <w:t>Sprache(n), die für die Erfüllung der Aufgaben erforderlich sind</w:t>
          </w:r>
        </w:p>
        <w:p w14:paraId="5D4BF3EB" w14:textId="77777777" w:rsidR="00C95F68" w:rsidRPr="00C95F68" w:rsidRDefault="00C95F68" w:rsidP="00C95F68">
          <w:pPr>
            <w:pStyle w:val="BodyText"/>
            <w:spacing w:before="1"/>
            <w:ind w:left="426"/>
            <w:rPr>
              <w:sz w:val="24"/>
              <w:szCs w:val="24"/>
              <w:lang w:val="de-DE"/>
            </w:rPr>
          </w:pPr>
        </w:p>
        <w:p w14:paraId="45D96CD1" w14:textId="77777777" w:rsidR="00C95F68" w:rsidRPr="00C95F68" w:rsidRDefault="00C95F68" w:rsidP="00C95F68">
          <w:pPr>
            <w:pStyle w:val="BodyText"/>
            <w:spacing w:before="92"/>
            <w:ind w:left="426"/>
            <w:rPr>
              <w:sz w:val="24"/>
              <w:szCs w:val="24"/>
              <w:lang w:val="de-DE"/>
            </w:rPr>
          </w:pPr>
          <w:r w:rsidRPr="00C95F68">
            <w:rPr>
              <w:sz w:val="24"/>
              <w:szCs w:val="24"/>
              <w:lang w:val="de-DE"/>
            </w:rPr>
            <w:t>Gründliche Kenntnisse in einer der EU-Sprachen und ausreichende Kenntnisse in einer weiteren EU-Sprache sind erforderlich. Ausgezeichnete Englischkenntnisse in Wort und Schrift sind unerlässlich.</w:t>
          </w:r>
        </w:p>
        <w:p w14:paraId="2A0F153A" w14:textId="77886D34" w:rsidR="009321C6" w:rsidRPr="009F216F" w:rsidRDefault="00862781" w:rsidP="00C95F68">
          <w:pPr>
            <w:ind w:left="426"/>
            <w:rPr>
              <w:lang w:eastAsia="en-GB"/>
            </w:rPr>
          </w:pP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lastRenderedPageBreak/>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2E3736"/>
    <w:multiLevelType w:val="hybridMultilevel"/>
    <w:tmpl w:val="9D08E03E"/>
    <w:lvl w:ilvl="0" w:tplc="6F92D1F4">
      <w:start w:val="1"/>
      <w:numFmt w:val="decimal"/>
      <w:lvlText w:val="%1."/>
      <w:lvlJc w:val="left"/>
      <w:pPr>
        <w:ind w:left="799" w:hanging="428"/>
        <w:jc w:val="left"/>
      </w:pPr>
      <w:rPr>
        <w:rFonts w:ascii="Times New Roman" w:eastAsia="Times New Roman" w:hAnsi="Times New Roman" w:cs="Times New Roman" w:hint="default"/>
        <w:b/>
        <w:bCs/>
        <w:i w:val="0"/>
        <w:iCs w:val="0"/>
        <w:w w:val="100"/>
        <w:sz w:val="24"/>
        <w:szCs w:val="24"/>
        <w:lang w:val="en-US" w:eastAsia="en-US" w:bidi="ar-SA"/>
      </w:rPr>
    </w:lvl>
    <w:lvl w:ilvl="1" w:tplc="0960EA4C">
      <w:start w:val="1"/>
      <w:numFmt w:val="decimal"/>
      <w:lvlText w:val="%2."/>
      <w:lvlJc w:val="left"/>
      <w:pPr>
        <w:ind w:left="1519" w:hanging="360"/>
        <w:jc w:val="left"/>
      </w:pPr>
      <w:rPr>
        <w:rFonts w:ascii="Times New Roman" w:eastAsia="Times New Roman" w:hAnsi="Times New Roman" w:cs="Times New Roman" w:hint="default"/>
        <w:b w:val="0"/>
        <w:bCs w:val="0"/>
        <w:i w:val="0"/>
        <w:iCs w:val="0"/>
        <w:w w:val="100"/>
        <w:sz w:val="22"/>
        <w:szCs w:val="22"/>
        <w:lang w:val="en-US" w:eastAsia="en-US" w:bidi="ar-SA"/>
      </w:rPr>
    </w:lvl>
    <w:lvl w:ilvl="2" w:tplc="27CAE52A">
      <w:numFmt w:val="bullet"/>
      <w:lvlText w:val="•"/>
      <w:lvlJc w:val="left"/>
      <w:pPr>
        <w:ind w:left="2538" w:hanging="360"/>
      </w:pPr>
      <w:rPr>
        <w:rFonts w:hint="default"/>
        <w:lang w:val="en-US" w:eastAsia="en-US" w:bidi="ar-SA"/>
      </w:rPr>
    </w:lvl>
    <w:lvl w:ilvl="3" w:tplc="FDAC461C">
      <w:numFmt w:val="bullet"/>
      <w:lvlText w:val="•"/>
      <w:lvlJc w:val="left"/>
      <w:pPr>
        <w:ind w:left="3556" w:hanging="360"/>
      </w:pPr>
      <w:rPr>
        <w:rFonts w:hint="default"/>
        <w:lang w:val="en-US" w:eastAsia="en-US" w:bidi="ar-SA"/>
      </w:rPr>
    </w:lvl>
    <w:lvl w:ilvl="4" w:tplc="FA7E66A0">
      <w:numFmt w:val="bullet"/>
      <w:lvlText w:val="•"/>
      <w:lvlJc w:val="left"/>
      <w:pPr>
        <w:ind w:left="4575" w:hanging="360"/>
      </w:pPr>
      <w:rPr>
        <w:rFonts w:hint="default"/>
        <w:lang w:val="en-US" w:eastAsia="en-US" w:bidi="ar-SA"/>
      </w:rPr>
    </w:lvl>
    <w:lvl w:ilvl="5" w:tplc="92040C36">
      <w:numFmt w:val="bullet"/>
      <w:lvlText w:val="•"/>
      <w:lvlJc w:val="left"/>
      <w:pPr>
        <w:ind w:left="5593" w:hanging="360"/>
      </w:pPr>
      <w:rPr>
        <w:rFonts w:hint="default"/>
        <w:lang w:val="en-US" w:eastAsia="en-US" w:bidi="ar-SA"/>
      </w:rPr>
    </w:lvl>
    <w:lvl w:ilvl="6" w:tplc="DD628C72">
      <w:numFmt w:val="bullet"/>
      <w:lvlText w:val="•"/>
      <w:lvlJc w:val="left"/>
      <w:pPr>
        <w:ind w:left="6612" w:hanging="360"/>
      </w:pPr>
      <w:rPr>
        <w:rFonts w:hint="default"/>
        <w:lang w:val="en-US" w:eastAsia="en-US" w:bidi="ar-SA"/>
      </w:rPr>
    </w:lvl>
    <w:lvl w:ilvl="7" w:tplc="60D2D9A2">
      <w:numFmt w:val="bullet"/>
      <w:lvlText w:val="•"/>
      <w:lvlJc w:val="left"/>
      <w:pPr>
        <w:ind w:left="7630" w:hanging="360"/>
      </w:pPr>
      <w:rPr>
        <w:rFonts w:hint="default"/>
        <w:lang w:val="en-US" w:eastAsia="en-US" w:bidi="ar-SA"/>
      </w:rPr>
    </w:lvl>
    <w:lvl w:ilvl="8" w:tplc="D7C8A33C">
      <w:numFmt w:val="bullet"/>
      <w:lvlText w:val="•"/>
      <w:lvlJc w:val="left"/>
      <w:pPr>
        <w:ind w:left="8649" w:hanging="360"/>
      </w:pPr>
      <w:rPr>
        <w:rFonts w:hint="default"/>
        <w:lang w:val="en-US" w:eastAsia="en-US" w:bidi="ar-SA"/>
      </w:rPr>
    </w:lvl>
  </w:abstractNum>
  <w:abstractNum w:abstractNumId="2"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CBA5067"/>
    <w:multiLevelType w:val="hybridMultilevel"/>
    <w:tmpl w:val="756AC8C2"/>
    <w:lvl w:ilvl="0" w:tplc="5CF6C5E2">
      <w:start w:val="1"/>
      <w:numFmt w:val="lowerLetter"/>
      <w:lvlText w:val="%1)"/>
      <w:lvlJc w:val="left"/>
      <w:pPr>
        <w:ind w:left="1039" w:hanging="240"/>
        <w:jc w:val="left"/>
      </w:pPr>
      <w:rPr>
        <w:rFonts w:ascii="Times New Roman" w:eastAsia="Times New Roman" w:hAnsi="Times New Roman" w:cs="Times New Roman" w:hint="default"/>
        <w:b/>
        <w:bCs/>
        <w:i w:val="0"/>
        <w:iCs w:val="0"/>
        <w:w w:val="100"/>
        <w:sz w:val="22"/>
        <w:szCs w:val="22"/>
        <w:lang w:val="en-US" w:eastAsia="en-US" w:bidi="ar-SA"/>
      </w:rPr>
    </w:lvl>
    <w:lvl w:ilvl="1" w:tplc="1BCA6B0A">
      <w:numFmt w:val="bullet"/>
      <w:lvlText w:val="-"/>
      <w:lvlJc w:val="left"/>
      <w:pPr>
        <w:ind w:left="1190" w:hanging="125"/>
      </w:pPr>
      <w:rPr>
        <w:rFonts w:ascii="Times New Roman" w:eastAsia="Times New Roman" w:hAnsi="Times New Roman" w:cs="Times New Roman" w:hint="default"/>
        <w:b w:val="0"/>
        <w:bCs w:val="0"/>
        <w:i w:val="0"/>
        <w:iCs w:val="0"/>
        <w:w w:val="100"/>
        <w:sz w:val="22"/>
        <w:szCs w:val="22"/>
        <w:lang w:val="en-US" w:eastAsia="en-US" w:bidi="ar-SA"/>
      </w:rPr>
    </w:lvl>
    <w:lvl w:ilvl="2" w:tplc="E1423A56">
      <w:numFmt w:val="bullet"/>
      <w:lvlText w:val="•"/>
      <w:lvlJc w:val="left"/>
      <w:pPr>
        <w:ind w:left="2254" w:hanging="125"/>
      </w:pPr>
      <w:rPr>
        <w:rFonts w:hint="default"/>
        <w:lang w:val="en-US" w:eastAsia="en-US" w:bidi="ar-SA"/>
      </w:rPr>
    </w:lvl>
    <w:lvl w:ilvl="3" w:tplc="78826E44">
      <w:numFmt w:val="bullet"/>
      <w:lvlText w:val="•"/>
      <w:lvlJc w:val="left"/>
      <w:pPr>
        <w:ind w:left="3308" w:hanging="125"/>
      </w:pPr>
      <w:rPr>
        <w:rFonts w:hint="default"/>
        <w:lang w:val="en-US" w:eastAsia="en-US" w:bidi="ar-SA"/>
      </w:rPr>
    </w:lvl>
    <w:lvl w:ilvl="4" w:tplc="8CD67C2C">
      <w:numFmt w:val="bullet"/>
      <w:lvlText w:val="•"/>
      <w:lvlJc w:val="left"/>
      <w:pPr>
        <w:ind w:left="4362" w:hanging="125"/>
      </w:pPr>
      <w:rPr>
        <w:rFonts w:hint="default"/>
        <w:lang w:val="en-US" w:eastAsia="en-US" w:bidi="ar-SA"/>
      </w:rPr>
    </w:lvl>
    <w:lvl w:ilvl="5" w:tplc="49D4C2F0">
      <w:numFmt w:val="bullet"/>
      <w:lvlText w:val="•"/>
      <w:lvlJc w:val="left"/>
      <w:pPr>
        <w:ind w:left="5416" w:hanging="125"/>
      </w:pPr>
      <w:rPr>
        <w:rFonts w:hint="default"/>
        <w:lang w:val="en-US" w:eastAsia="en-US" w:bidi="ar-SA"/>
      </w:rPr>
    </w:lvl>
    <w:lvl w:ilvl="6" w:tplc="033ECFBA">
      <w:numFmt w:val="bullet"/>
      <w:lvlText w:val="•"/>
      <w:lvlJc w:val="left"/>
      <w:pPr>
        <w:ind w:left="6470" w:hanging="125"/>
      </w:pPr>
      <w:rPr>
        <w:rFonts w:hint="default"/>
        <w:lang w:val="en-US" w:eastAsia="en-US" w:bidi="ar-SA"/>
      </w:rPr>
    </w:lvl>
    <w:lvl w:ilvl="7" w:tplc="9FD056EC">
      <w:numFmt w:val="bullet"/>
      <w:lvlText w:val="•"/>
      <w:lvlJc w:val="left"/>
      <w:pPr>
        <w:ind w:left="7524" w:hanging="125"/>
      </w:pPr>
      <w:rPr>
        <w:rFonts w:hint="default"/>
        <w:lang w:val="en-US" w:eastAsia="en-US" w:bidi="ar-SA"/>
      </w:rPr>
    </w:lvl>
    <w:lvl w:ilvl="8" w:tplc="33AA8A08">
      <w:numFmt w:val="bullet"/>
      <w:lvlText w:val="•"/>
      <w:lvlJc w:val="left"/>
      <w:pPr>
        <w:ind w:left="8578" w:hanging="125"/>
      </w:pPr>
      <w:rPr>
        <w:rFonts w:hint="default"/>
        <w:lang w:val="en-US" w:eastAsia="en-US" w:bidi="ar-SA"/>
      </w:rPr>
    </w:lvl>
  </w:abstractNum>
  <w:abstractNum w:abstractNumId="17"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2"/>
  </w:num>
  <w:num w:numId="3" w16cid:durableId="1803648488">
    <w:abstractNumId w:val="8"/>
  </w:num>
  <w:num w:numId="4" w16cid:durableId="1345133806">
    <w:abstractNumId w:val="13"/>
  </w:num>
  <w:num w:numId="5" w16cid:durableId="1484001909">
    <w:abstractNumId w:val="19"/>
  </w:num>
  <w:num w:numId="6" w16cid:durableId="773328393">
    <w:abstractNumId w:val="21"/>
  </w:num>
  <w:num w:numId="7" w16cid:durableId="105732114">
    <w:abstractNumId w:val="2"/>
  </w:num>
  <w:num w:numId="8" w16cid:durableId="385377974">
    <w:abstractNumId w:val="7"/>
  </w:num>
  <w:num w:numId="9" w16cid:durableId="526991876">
    <w:abstractNumId w:val="15"/>
  </w:num>
  <w:num w:numId="10" w16cid:durableId="564218535">
    <w:abstractNumId w:val="3"/>
  </w:num>
  <w:num w:numId="11" w16cid:durableId="1038512878">
    <w:abstractNumId w:val="5"/>
  </w:num>
  <w:num w:numId="12" w16cid:durableId="1162895123">
    <w:abstractNumId w:val="6"/>
  </w:num>
  <w:num w:numId="13" w16cid:durableId="225267355">
    <w:abstractNumId w:val="9"/>
  </w:num>
  <w:num w:numId="14" w16cid:durableId="1302420880">
    <w:abstractNumId w:val="14"/>
  </w:num>
  <w:num w:numId="15" w16cid:durableId="1649935422">
    <w:abstractNumId w:val="18"/>
  </w:num>
  <w:num w:numId="16" w16cid:durableId="57359822">
    <w:abstractNumId w:val="22"/>
  </w:num>
  <w:num w:numId="17" w16cid:durableId="229002306">
    <w:abstractNumId w:val="10"/>
  </w:num>
  <w:num w:numId="18" w16cid:durableId="630205849">
    <w:abstractNumId w:val="11"/>
  </w:num>
  <w:num w:numId="19" w16cid:durableId="2102024247">
    <w:abstractNumId w:val="23"/>
  </w:num>
  <w:num w:numId="20" w16cid:durableId="759369245">
    <w:abstractNumId w:val="17"/>
  </w:num>
  <w:num w:numId="21" w16cid:durableId="975991476">
    <w:abstractNumId w:val="20"/>
  </w:num>
  <w:num w:numId="22" w16cid:durableId="449011082">
    <w:abstractNumId w:val="4"/>
  </w:num>
  <w:num w:numId="23" w16cid:durableId="1680430503">
    <w:abstractNumId w:val="3"/>
  </w:num>
  <w:num w:numId="24" w16cid:durableId="77404849">
    <w:abstractNumId w:val="3"/>
  </w:num>
  <w:num w:numId="25" w16cid:durableId="1127695552">
    <w:abstractNumId w:val="3"/>
  </w:num>
  <w:num w:numId="26" w16cid:durableId="804157292">
    <w:abstractNumId w:val="3"/>
  </w:num>
  <w:num w:numId="27" w16cid:durableId="1286699480">
    <w:abstractNumId w:val="3"/>
  </w:num>
  <w:num w:numId="28" w16cid:durableId="1593584724">
    <w:abstractNumId w:val="3"/>
  </w:num>
  <w:num w:numId="29" w16cid:durableId="2091348952">
    <w:abstractNumId w:val="3"/>
  </w:num>
  <w:num w:numId="30" w16cid:durableId="898981512">
    <w:abstractNumId w:val="1"/>
  </w:num>
  <w:num w:numId="31" w16cid:durableId="86706568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PKit_DocumentHasBeenSaved" w:val="true"/>
    <w:docVar w:name="LW_DocType" w:val="E83375CF453A4211B387EEDB5057D1E5"/>
  </w:docVars>
  <w:rsids>
    <w:rsidRoot w:val="00546DB1"/>
    <w:rsid w:val="000331EC"/>
    <w:rsid w:val="000D7B5E"/>
    <w:rsid w:val="001203F8"/>
    <w:rsid w:val="002309DB"/>
    <w:rsid w:val="00245D56"/>
    <w:rsid w:val="002C5752"/>
    <w:rsid w:val="002F7504"/>
    <w:rsid w:val="00324D8D"/>
    <w:rsid w:val="0035094A"/>
    <w:rsid w:val="003874E2"/>
    <w:rsid w:val="0039387D"/>
    <w:rsid w:val="00394A86"/>
    <w:rsid w:val="003B2E38"/>
    <w:rsid w:val="003D2C4C"/>
    <w:rsid w:val="003E24D0"/>
    <w:rsid w:val="004D75AF"/>
    <w:rsid w:val="00546DB1"/>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62781"/>
    <w:rsid w:val="0089735C"/>
    <w:rsid w:val="008D52CF"/>
    <w:rsid w:val="008F425C"/>
    <w:rsid w:val="009321C6"/>
    <w:rsid w:val="009442BE"/>
    <w:rsid w:val="009647E5"/>
    <w:rsid w:val="009F216F"/>
    <w:rsid w:val="00A239B2"/>
    <w:rsid w:val="00AB56F9"/>
    <w:rsid w:val="00AC5FF8"/>
    <w:rsid w:val="00AE6941"/>
    <w:rsid w:val="00B73B91"/>
    <w:rsid w:val="00BF6139"/>
    <w:rsid w:val="00C07259"/>
    <w:rsid w:val="00C27C81"/>
    <w:rsid w:val="00C95F68"/>
    <w:rsid w:val="00CD33B4"/>
    <w:rsid w:val="00D605F4"/>
    <w:rsid w:val="00DA711C"/>
    <w:rsid w:val="00E01792"/>
    <w:rsid w:val="00E35460"/>
    <w:rsid w:val="00E521BB"/>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1"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BodyText">
    <w:name w:val="Body Text"/>
    <w:basedOn w:val="Normal"/>
    <w:link w:val="BodyTextChar"/>
    <w:uiPriority w:val="1"/>
    <w:qFormat/>
    <w:locked/>
    <w:rsid w:val="00C95F68"/>
    <w:pPr>
      <w:widowControl w:val="0"/>
      <w:autoSpaceDE w:val="0"/>
      <w:autoSpaceDN w:val="0"/>
      <w:spacing w:after="0"/>
      <w:jc w:val="left"/>
    </w:pPr>
    <w:rPr>
      <w:sz w:val="22"/>
      <w:szCs w:val="22"/>
      <w:lang w:val="en-US" w:eastAsia="en-US"/>
    </w:rPr>
  </w:style>
  <w:style w:type="character" w:customStyle="1" w:styleId="BodyTextChar">
    <w:name w:val="Body Text Char"/>
    <w:basedOn w:val="DefaultParagraphFont"/>
    <w:link w:val="BodyText"/>
    <w:uiPriority w:val="1"/>
    <w:rsid w:val="00C95F68"/>
    <w:rPr>
      <w:sz w:val="22"/>
      <w:szCs w:val="22"/>
      <w:lang w:val="en-US" w:eastAsia="en-US"/>
    </w:rPr>
  </w:style>
  <w:style w:type="paragraph" w:styleId="ListParagraph">
    <w:name w:val="List Paragraph"/>
    <w:basedOn w:val="Normal"/>
    <w:uiPriority w:val="1"/>
    <w:qFormat/>
    <w:locked/>
    <w:rsid w:val="00C95F68"/>
    <w:pPr>
      <w:widowControl w:val="0"/>
      <w:autoSpaceDE w:val="0"/>
      <w:autoSpaceDN w:val="0"/>
      <w:spacing w:after="0"/>
      <w:ind w:left="1080" w:hanging="428"/>
      <w:jc w:val="left"/>
    </w:pPr>
    <w:rPr>
      <w:sz w:val="22"/>
      <w:szCs w:val="22"/>
      <w:lang w:val="en-US" w:eastAsia="en-US"/>
    </w:rPr>
  </w:style>
  <w:style w:type="character" w:styleId="UnresolvedMention">
    <w:name w:val="Unresolved Mention"/>
    <w:basedOn w:val="DefaultParagraphFont"/>
    <w:uiPriority w:val="99"/>
    <w:semiHidden/>
    <w:unhideWhenUsed/>
    <w:rsid w:val="003E24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hyperlink" Target="mailto:Paolo.PASIMENI@ec.europa.eu" TargetMode="External"/><Relationship Id="rId23" Type="http://schemas.openxmlformats.org/officeDocument/2006/relationships/control" Target="activeX/activeX4.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11071AB203214DF6A87BDCC75C03557E"/>
        <w:category>
          <w:name w:val="General"/>
          <w:gallery w:val="placeholder"/>
        </w:category>
        <w:types>
          <w:type w:val="bbPlcHdr"/>
        </w:types>
        <w:behaviors>
          <w:behavior w:val="content"/>
        </w:behaviors>
        <w:guid w:val="{40FE2D7C-779E-41C3-8B48-F972E19E47C9}"/>
      </w:docPartPr>
      <w:docPartBody>
        <w:p w:rsidR="00762EAB" w:rsidRDefault="00762EAB" w:rsidP="00762EAB">
          <w:pPr>
            <w:pStyle w:val="11071AB203214DF6A87BDCC75C03557E"/>
          </w:pPr>
          <w:r w:rsidRPr="0007110E">
            <w:rPr>
              <w:rStyle w:val="PlaceholderText"/>
              <w:bCs/>
            </w:rPr>
            <w:t>Click or tap here to enter text.</w:t>
          </w:r>
        </w:p>
      </w:docPartBody>
    </w:docPart>
    <w:docPart>
      <w:docPartPr>
        <w:name w:val="081A051E7AAB4A2492B43F57BD080229"/>
        <w:category>
          <w:name w:val="General"/>
          <w:gallery w:val="placeholder"/>
        </w:category>
        <w:types>
          <w:type w:val="bbPlcHdr"/>
        </w:types>
        <w:behaviors>
          <w:behavior w:val="content"/>
        </w:behaviors>
        <w:guid w:val="{11B20378-60EB-4723-A280-F7EEEB7E22F2}"/>
      </w:docPartPr>
      <w:docPartBody>
        <w:p w:rsidR="00762EAB" w:rsidRDefault="00762EAB" w:rsidP="00762EAB">
          <w:pPr>
            <w:pStyle w:val="081A051E7AAB4A2492B43F57BD080229"/>
          </w:pPr>
          <w:r w:rsidRPr="0007110E">
            <w:rPr>
              <w:rStyle w:val="PlaceholderText"/>
              <w:bCs/>
            </w:rPr>
            <w:t>Click or tap here to enter text.</w:t>
          </w:r>
        </w:p>
      </w:docPartBody>
    </w:docPart>
    <w:docPart>
      <w:docPartPr>
        <w:name w:val="B50729145B764BC69F4D85F0531B32A5"/>
        <w:category>
          <w:name w:val="General"/>
          <w:gallery w:val="placeholder"/>
        </w:category>
        <w:types>
          <w:type w:val="bbPlcHdr"/>
        </w:types>
        <w:behaviors>
          <w:behavior w:val="content"/>
        </w:behaviors>
        <w:guid w:val="{1DE0C4D6-AEE9-475C-AE42-92599E04F7F3}"/>
      </w:docPartPr>
      <w:docPartBody>
        <w:p w:rsidR="00762EAB" w:rsidRDefault="00762EAB" w:rsidP="00762EAB">
          <w:pPr>
            <w:pStyle w:val="B50729145B764BC69F4D85F0531B32A5"/>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3D2C4C"/>
    <w:rsid w:val="0056186B"/>
    <w:rsid w:val="00723B02"/>
    <w:rsid w:val="00762EAB"/>
    <w:rsid w:val="00897026"/>
    <w:rsid w:val="008A7C76"/>
    <w:rsid w:val="008C406B"/>
    <w:rsid w:val="008D04E3"/>
    <w:rsid w:val="008F425C"/>
    <w:rsid w:val="00A239B2"/>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762EAB"/>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11071AB203214DF6A87BDCC75C03557E">
    <w:name w:val="11071AB203214DF6A87BDCC75C03557E"/>
    <w:rsid w:val="00762EAB"/>
    <w:pPr>
      <w:spacing w:line="278" w:lineRule="auto"/>
    </w:pPr>
    <w:rPr>
      <w:kern w:val="2"/>
      <w:sz w:val="24"/>
      <w:szCs w:val="24"/>
      <w14:ligatures w14:val="standardContextual"/>
    </w:rPr>
  </w:style>
  <w:style w:type="paragraph" w:customStyle="1" w:styleId="081A051E7AAB4A2492B43F57BD080229">
    <w:name w:val="081A051E7AAB4A2492B43F57BD080229"/>
    <w:rsid w:val="00762EAB"/>
    <w:pPr>
      <w:spacing w:line="278" w:lineRule="auto"/>
    </w:pPr>
    <w:rPr>
      <w:kern w:val="2"/>
      <w:sz w:val="24"/>
      <w:szCs w:val="24"/>
      <w14:ligatures w14:val="standardContextual"/>
    </w:rPr>
  </w:style>
  <w:style w:type="paragraph" w:customStyle="1" w:styleId="B50729145B764BC69F4D85F0531B32A5">
    <w:name w:val="B50729145B764BC69F4D85F0531B32A5"/>
    <w:rsid w:val="00762EAB"/>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66539D15-E2DB-42A9-97BA-73C54F9314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64AC718-AF23-442A-92F5-08EA22515F3E}">
  <ds:schemaRefs>
    <ds:schemaRef ds:uri="1929b814-5a78-4bdc-9841-d8b9ef424f65"/>
    <ds:schemaRef ds:uri="08927195-b699-4be0-9ee2-6c66dc215b5a"/>
    <ds:schemaRef ds:uri="http://www.w3.org/XML/1998/namespace"/>
    <ds:schemaRef ds:uri="http://schemas.microsoft.com/office/infopath/2007/PartnerControls"/>
    <ds:schemaRef ds:uri="http://schemas.openxmlformats.org/package/2006/metadata/core-properties"/>
    <ds:schemaRef ds:uri="http://schemas.microsoft.com/office/2006/documentManagement/types"/>
    <ds:schemaRef ds:uri="http://purl.org/dc/terms/"/>
    <ds:schemaRef ds:uri="http://purl.org/dc/elements/1.1/"/>
    <ds:schemaRef ds:uri="http://schemas.microsoft.com/office/2006/metadata/properties"/>
    <ds:schemaRef ds:uri="a41a97bf-0494-41d8-ba3d-259bd7771890"/>
    <ds:schemaRef ds:uri="http://schemas.microsoft.com/sharepoint/v3/fields"/>
    <ds:schemaRef ds:uri="http://purl.org/dc/dcmitype/"/>
    <ds:schemaRef ds:uri="30c666ed-fe46-43d6-bf30-6de2567680e6"/>
  </ds:schemaRefs>
</ds:datastoreItem>
</file>

<file path=customXml/itemProps4.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5.xml><?xml version="1.0" encoding="utf-8"?>
<ds:datastoreItem xmlns:ds="http://schemas.openxmlformats.org/officeDocument/2006/customXml" ds:itemID="{1DB72EFA-9A9F-4F5B-AB9B-0434A59B82CF}">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1221</Words>
  <Characters>6960</Characters>
  <Application>Microsoft Office Word</Application>
  <DocSecurity>0</DocSecurity>
  <PresentationFormat>Microsoft Word 14.0</PresentationFormat>
  <Lines>58</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dcterms:created xsi:type="dcterms:W3CDTF">2025-05-07T16:53:00Z</dcterms:created>
  <dcterms:modified xsi:type="dcterms:W3CDTF">2025-05-08T14:20:00Z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