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7A2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07A2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07A2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07A2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07A2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07A2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DB2EFD" w:rsidR="00546DB1" w:rsidRPr="00546DB1" w:rsidRDefault="00EF218E" w:rsidP="00AB56F9">
                <w:pPr>
                  <w:tabs>
                    <w:tab w:val="left" w:pos="426"/>
                  </w:tabs>
                  <w:spacing w:before="120"/>
                  <w:rPr>
                    <w:bCs/>
                    <w:lang w:val="en-IE" w:eastAsia="en-GB"/>
                  </w:rPr>
                </w:pPr>
                <w:r>
                  <w:rPr>
                    <w:bCs/>
                    <w:lang w:eastAsia="en-GB"/>
                  </w:rPr>
                  <w:t>CONNECT-D-3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98291C6" w:rsidR="00546DB1" w:rsidRPr="003B2E38" w:rsidRDefault="00EF218E" w:rsidP="00AB56F9">
                <w:pPr>
                  <w:tabs>
                    <w:tab w:val="left" w:pos="426"/>
                  </w:tabs>
                  <w:spacing w:before="120"/>
                  <w:rPr>
                    <w:bCs/>
                    <w:lang w:val="en-IE" w:eastAsia="en-GB"/>
                  </w:rPr>
                </w:pPr>
                <w:r>
                  <w:rPr>
                    <w:bCs/>
                    <w:lang w:eastAsia="en-GB"/>
                  </w:rPr>
                  <w:t>Olivier BRINGER</w:t>
                </w:r>
              </w:p>
            </w:sdtContent>
          </w:sdt>
          <w:p w14:paraId="227D6F6E" w14:textId="599C7524" w:rsidR="00546DB1" w:rsidRPr="009F216F" w:rsidRDefault="00007A2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F218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51BAC3DA" w:rsidR="00546DB1" w:rsidRPr="00546DB1" w:rsidRDefault="00007A2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F218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F218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790FC48"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F661ED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07A2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07A2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07A2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B48D220"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DAD39C9"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21B2A9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007A29">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color w:val="auto"/>
          <w:sz w:val="24"/>
          <w:lang w:val="en-US" w:eastAsia="en-GB"/>
        </w:rPr>
        <w:id w:val="1822233941"/>
        <w:placeholder>
          <w:docPart w:val="FE6C9874556B47B1A65A432926DB0BCE"/>
        </w:placeholder>
      </w:sdtPr>
      <w:sdtEndPr>
        <w:rPr>
          <w:szCs w:val="24"/>
        </w:rPr>
      </w:sdtEndPr>
      <w:sdtContent>
        <w:sdt>
          <w:sdtPr>
            <w:rPr>
              <w:lang w:val="en-US" w:eastAsia="en-GB"/>
            </w:rPr>
            <w:id w:val="1970628346"/>
            <w:placeholder>
              <w:docPart w:val="9E701FE860954E3AAB67E34E5CC38A8A"/>
            </w:placeholder>
          </w:sdtPr>
          <w:sdtEndPr/>
          <w:sdtContent>
            <w:p w14:paraId="684F58AE" w14:textId="77777777" w:rsidR="00EF218E" w:rsidRPr="00EF218E" w:rsidRDefault="00EF218E" w:rsidP="00EF218E">
              <w:pPr>
                <w:pStyle w:val="P68B1DB1-Normal5"/>
                <w:spacing w:after="0"/>
                <w:rPr>
                  <w:lang w:val="nl-BE" w:eastAsia="en-GB"/>
                </w:rPr>
              </w:pPr>
              <w:r w:rsidRPr="00DE1CF7">
                <w:rPr>
                  <w:sz w:val="24"/>
                  <w:szCs w:val="24"/>
                </w:rPr>
                <w:t xml:space="preserve">Das Referat D3 ist für die Koordinierung der internationalen Dimension der Digitalpolitik der Europäischen Kommission zuständig. Das Referat koordiniert die </w:t>
              </w:r>
              <w:r w:rsidRPr="00DE1CF7">
                <w:rPr>
                  <w:sz w:val="24"/>
                  <w:szCs w:val="24"/>
                </w:rPr>
                <w:lastRenderedPageBreak/>
                <w:t>internationale Position der Kommission in digitalen Angelegenheiten auf bilateraler Ebene mit Ländern und Regionen außerhalb der Union sowie in multilateralen und internationalen Foren.</w:t>
              </w:r>
            </w:p>
          </w:sdtContent>
        </w:sdt>
        <w:p w14:paraId="76DD1EEA" w14:textId="4709ED11" w:rsidR="00803007" w:rsidRDefault="00007A29" w:rsidP="00803007">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color w:val="auto"/>
          <w:sz w:val="24"/>
          <w:lang w:val="en-US" w:eastAsia="en-GB"/>
        </w:rPr>
        <w:id w:val="-723136291"/>
        <w:placeholder>
          <w:docPart w:val="2D9A90DC0280475D996998F2F9FD95D5"/>
        </w:placeholder>
      </w:sdtPr>
      <w:sdtEndPr>
        <w:rPr>
          <w:szCs w:val="24"/>
        </w:rPr>
      </w:sdtEndPr>
      <w:sdtContent>
        <w:sdt>
          <w:sdtPr>
            <w:rPr>
              <w:lang w:val="en-US" w:eastAsia="en-GB"/>
            </w:rPr>
            <w:id w:val="-476612793"/>
            <w:placeholder>
              <w:docPart w:val="05FAA5AA2F724A20AA09158EAC28F823"/>
            </w:placeholder>
          </w:sdtPr>
          <w:sdtEndPr/>
          <w:sdtContent>
            <w:p w14:paraId="233BC101" w14:textId="77777777" w:rsidR="00EF218E" w:rsidRPr="00EF218E" w:rsidRDefault="00EF218E" w:rsidP="00EF218E">
              <w:pPr>
                <w:pStyle w:val="P68B1DB1-Normal5"/>
                <w:spacing w:after="0" w:line="240" w:lineRule="auto"/>
                <w:jc w:val="both"/>
                <w:rPr>
                  <w:color w:val="auto"/>
                  <w:sz w:val="24"/>
                  <w:lang w:val="nl-BE" w:eastAsia="en-GB"/>
                </w:rPr>
              </w:pPr>
              <w:r w:rsidRPr="00DE1CF7">
                <w:rPr>
                  <w:sz w:val="24"/>
                  <w:szCs w:val="24"/>
                </w:rPr>
                <w:t xml:space="preserve">Als Teil des Referats D3 entwickelt und setzt der IKT-Normungssektor die IKT-Normungspolitik der EU um, wozu auch die Koordinierung der IKT-Normungstätigkeiten innerhalb der Kommission gehört; Umsetzung der IKT-bezogenen Maßnahmen der EU-Normungsstrategie; Beteiligung an der Leitung und den technischen Gremien der Normungsorganisationen; Pflege von Kontakten mit Interessenträgern, die an der IKT-Normung beteiligt sind; Verwaltung der Multi-Stakeholder-Plattform für die IKT-Normung (MSP); Unterstützung der internationalen Zusammenarbeit bei der IKT-Normung und der Förderung der IKT-Normen der EU auf internationaler Ebene; Verwaltung von EU-finanzierten Projekten zur IKT-Normung. </w:t>
              </w:r>
            </w:p>
          </w:sdtContent>
        </w:sdt>
        <w:p w14:paraId="12B9C59B" w14:textId="4667FC02" w:rsidR="00803007" w:rsidRPr="009F216F" w:rsidRDefault="00007A29"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color w:val="auto"/>
          <w:sz w:val="24"/>
          <w:lang w:val="en-US" w:eastAsia="en-GB"/>
        </w:rPr>
        <w:id w:val="-1767066427"/>
        <w:placeholder>
          <w:docPart w:val="B30E44B90B7F435497E9EE7D5097ED0B"/>
        </w:placeholder>
      </w:sdtPr>
      <w:sdtEndPr>
        <w:rPr>
          <w:szCs w:val="24"/>
        </w:rPr>
      </w:sdtEndPr>
      <w:sdtContent>
        <w:sdt>
          <w:sdtPr>
            <w:rPr>
              <w:color w:val="auto"/>
              <w:sz w:val="24"/>
              <w:szCs w:val="24"/>
              <w:lang w:val="en-US" w:eastAsia="en-GB"/>
            </w:rPr>
            <w:id w:val="-1437128551"/>
            <w:placeholder>
              <w:docPart w:val="ADEB452E1053458BB47C5131850289DB"/>
            </w:placeholder>
          </w:sdtPr>
          <w:sdtEndPr/>
          <w:sdtContent>
            <w:p w14:paraId="67AF6E30" w14:textId="77777777" w:rsidR="00EF218E" w:rsidRPr="00DE1CF7" w:rsidRDefault="00EF218E" w:rsidP="04E876D7">
              <w:pPr>
                <w:pStyle w:val="P68B1DB1-Normal5"/>
                <w:spacing w:after="0" w:line="240" w:lineRule="auto"/>
                <w:jc w:val="both"/>
                <w:rPr>
                  <w:sz w:val="24"/>
                  <w:szCs w:val="24"/>
                  <w:lang w:val="de-DE"/>
                </w:rPr>
              </w:pPr>
              <w:r w:rsidRPr="04E876D7">
                <w:rPr>
                  <w:sz w:val="24"/>
                  <w:szCs w:val="24"/>
                  <w:lang w:val="de-DE"/>
                </w:rPr>
                <w:t>Unter der Aufsicht des Referatsleiters und unter fachlicher Leitung des Bereichsleiters werden die abgeordneten nationalen Sachverständigen (ANS) zur Entwicklung und Umsetzung der IKT-Normungspolitik auf EU-Ebene beitragen.</w:t>
              </w:r>
            </w:p>
            <w:p w14:paraId="502322EB" w14:textId="77777777" w:rsidR="00EF218E" w:rsidRPr="00DE1CF7" w:rsidRDefault="00EF218E" w:rsidP="00EF218E">
              <w:pPr>
                <w:spacing w:after="0"/>
                <w:ind w:left="426"/>
                <w:rPr>
                  <w:color w:val="000000"/>
                  <w:szCs w:val="24"/>
                </w:rPr>
              </w:pPr>
            </w:p>
            <w:p w14:paraId="6EFF7865" w14:textId="77777777" w:rsidR="00EF218E" w:rsidRPr="00DE1CF7" w:rsidRDefault="00EF218E" w:rsidP="00EF218E">
              <w:pPr>
                <w:pStyle w:val="P68B1DB1-Normal5"/>
                <w:spacing w:after="0" w:line="240" w:lineRule="auto"/>
                <w:jc w:val="both"/>
                <w:rPr>
                  <w:sz w:val="24"/>
                  <w:szCs w:val="24"/>
                </w:rPr>
              </w:pPr>
              <w:r w:rsidRPr="00DE1CF7">
                <w:rPr>
                  <w:sz w:val="24"/>
                  <w:szCs w:val="24"/>
                </w:rPr>
                <w:t>Die Arbeit umfasst regelmäßige Kontakte mit den EU-Mitgliedstaaten sowie mit Normungsorganisationen, regionalen und internationalen Institutionen, gleichgesinnten Partnern, Privatunternehmen und der Zivilgesellschaft.</w:t>
              </w:r>
            </w:p>
            <w:p w14:paraId="59BAB187" w14:textId="77777777" w:rsidR="00EF218E" w:rsidRPr="00DE1CF7" w:rsidRDefault="00EF218E" w:rsidP="00EF218E">
              <w:pPr>
                <w:spacing w:after="0"/>
                <w:ind w:left="426"/>
                <w:rPr>
                  <w:color w:val="000000"/>
                  <w:szCs w:val="24"/>
                </w:rPr>
              </w:pPr>
            </w:p>
            <w:p w14:paraId="6A39652D" w14:textId="77777777" w:rsidR="00EF218E" w:rsidRPr="00DE1CF7" w:rsidRDefault="00EF218E" w:rsidP="00EF218E">
              <w:pPr>
                <w:pStyle w:val="P68B1DB1-Normal5"/>
                <w:spacing w:after="0" w:line="240" w:lineRule="auto"/>
                <w:jc w:val="both"/>
                <w:rPr>
                  <w:sz w:val="24"/>
                  <w:szCs w:val="24"/>
                </w:rPr>
              </w:pPr>
              <w:r w:rsidRPr="00DE1CF7">
                <w:rPr>
                  <w:sz w:val="24"/>
                  <w:szCs w:val="24"/>
                </w:rPr>
                <w:t>Unbeachtet des Grundsatzes der loyalen Zusammenarbeit zwischen den nationalen/regionalen und europäischen Verwaltungen werden sich die ANS nicht mit Einzelfällen befassen, die Auswirkungen auf Dossiers haben, die sie in den beiden Jahren vor ihrem Antritt bei der Kommission in ihrer nationalen Verwaltung hätten bearbeiten müssen, oder in unmittelbar angrenzenden Fällen. In keinem Fall vertreten sie die Kommission, um finanzielle oder sonstige Verpflichtungen einzugehen oder im Namen der Kommission Verhandlungen zu führen.</w:t>
              </w:r>
            </w:p>
            <w:p w14:paraId="36EB6715" w14:textId="77777777" w:rsidR="00EF218E" w:rsidRPr="00DE1CF7" w:rsidRDefault="00EF218E" w:rsidP="00EF218E">
              <w:pPr>
                <w:pStyle w:val="P68B1DB1-Normal2"/>
                <w:spacing w:before="100" w:beforeAutospacing="1" w:after="100" w:afterAutospacing="1" w:line="240" w:lineRule="auto"/>
                <w:jc w:val="both"/>
                <w:rPr>
                  <w:szCs w:val="24"/>
                </w:rPr>
              </w:pPr>
              <w:r w:rsidRPr="00DE1CF7">
                <w:rPr>
                  <w:szCs w:val="24"/>
                </w:rPr>
                <w:t>Funktionen und Aufgaben</w:t>
              </w:r>
            </w:p>
            <w:p w14:paraId="7FDE7481" w14:textId="77777777" w:rsidR="00EF218E" w:rsidRPr="00DE1CF7" w:rsidRDefault="00EF218E" w:rsidP="00EF218E">
              <w:pPr>
                <w:pStyle w:val="P68B1DB1-Normal6"/>
                <w:spacing w:before="100" w:beforeAutospacing="1" w:after="100" w:afterAutospacing="1" w:line="240" w:lineRule="auto"/>
                <w:ind w:left="851" w:hanging="284"/>
                <w:jc w:val="both"/>
                <w:rPr>
                  <w:sz w:val="24"/>
                  <w:szCs w:val="24"/>
                </w:rPr>
              </w:pPr>
              <w:r w:rsidRPr="00DE1CF7">
                <w:rPr>
                  <w:sz w:val="24"/>
                  <w:szCs w:val="24"/>
                </w:rPr>
                <w:t xml:space="preserve">Politische ENTWICKLUNG – Beitrag zur Politik und Strategie </w:t>
              </w:r>
            </w:p>
            <w:p w14:paraId="14287DF0" w14:textId="77777777" w:rsidR="00EF218E" w:rsidRPr="00DE1CF7" w:rsidRDefault="00EF218E" w:rsidP="00EF218E">
              <w:pPr>
                <w:pStyle w:val="P68B1DB1-ListParagraph7"/>
                <w:numPr>
                  <w:ilvl w:val="0"/>
                  <w:numId w:val="30"/>
                </w:numPr>
                <w:spacing w:before="100" w:beforeAutospacing="1" w:after="100" w:afterAutospacing="1" w:line="240" w:lineRule="auto"/>
                <w:ind w:left="851" w:hanging="284"/>
                <w:jc w:val="both"/>
                <w:rPr>
                  <w:sz w:val="24"/>
                  <w:szCs w:val="24"/>
                </w:rPr>
              </w:pPr>
              <w:r w:rsidRPr="00DE1CF7">
                <w:rPr>
                  <w:sz w:val="24"/>
                  <w:szCs w:val="24"/>
                </w:rPr>
                <w:t>Beitrag zur Umsetzung der EU-Normungsstrategie – Umsetzung der internationalen Normungspolitik und Zusammenarbeit mit anderen Regionen.</w:t>
              </w:r>
            </w:p>
            <w:p w14:paraId="70742A70" w14:textId="77777777" w:rsidR="00EF218E" w:rsidRPr="00DE1CF7" w:rsidRDefault="00EF218E" w:rsidP="00EF218E">
              <w:pPr>
                <w:pStyle w:val="P68B1DB1-ListParagraph7"/>
                <w:numPr>
                  <w:ilvl w:val="0"/>
                  <w:numId w:val="30"/>
                </w:numPr>
                <w:spacing w:before="100" w:beforeAutospacing="1" w:after="100" w:afterAutospacing="1" w:line="240" w:lineRule="auto"/>
                <w:ind w:left="851" w:hanging="284"/>
                <w:jc w:val="both"/>
                <w:rPr>
                  <w:sz w:val="24"/>
                  <w:szCs w:val="24"/>
                </w:rPr>
              </w:pPr>
              <w:r w:rsidRPr="00DE1CF7">
                <w:rPr>
                  <w:sz w:val="24"/>
                  <w:szCs w:val="24"/>
                </w:rPr>
                <w:t xml:space="preserve">Beitrag zur Umsetzung der EU-Normungsstrategie – Entwicklung von Maßnahmen zur Überbrückung der Kluft zwischen Forschung &amp; Innovation und Normung. </w:t>
              </w:r>
            </w:p>
            <w:p w14:paraId="338D0B1E" w14:textId="77777777" w:rsidR="00EF218E" w:rsidRPr="00DE1CF7" w:rsidRDefault="00EF218E" w:rsidP="00EF218E">
              <w:pPr>
                <w:pStyle w:val="P68B1DB1-ListParagraph7"/>
                <w:numPr>
                  <w:ilvl w:val="0"/>
                  <w:numId w:val="30"/>
                </w:numPr>
                <w:spacing w:before="100" w:beforeAutospacing="1" w:after="100" w:afterAutospacing="1" w:line="240" w:lineRule="auto"/>
                <w:ind w:left="851" w:hanging="284"/>
                <w:jc w:val="both"/>
                <w:rPr>
                  <w:sz w:val="24"/>
                  <w:szCs w:val="24"/>
                </w:rPr>
              </w:pPr>
              <w:r w:rsidRPr="00DE1CF7">
                <w:rPr>
                  <w:sz w:val="24"/>
                  <w:szCs w:val="24"/>
                </w:rPr>
                <w:t>Beitrag zur Umsetzung der EU-Normungsstrategie – Entwicklung von Maßnahmen zur Verbesserung der Ausbildung und der Kompetenzen auf dem Gebiet der IKT-Normung.</w:t>
              </w:r>
            </w:p>
            <w:p w14:paraId="44F03E43" w14:textId="77777777" w:rsidR="00EF218E" w:rsidRPr="00DE1CF7" w:rsidRDefault="00EF218E" w:rsidP="00EF218E">
              <w:pPr>
                <w:pStyle w:val="P68B1DB1-ListParagraph8"/>
                <w:numPr>
                  <w:ilvl w:val="0"/>
                  <w:numId w:val="30"/>
                </w:numPr>
                <w:spacing w:before="100" w:beforeAutospacing="1" w:after="100" w:afterAutospacing="1" w:line="240" w:lineRule="auto"/>
                <w:ind w:left="851" w:hanging="284"/>
                <w:jc w:val="both"/>
                <w:rPr>
                  <w:sz w:val="24"/>
                  <w:szCs w:val="24"/>
                </w:rPr>
              </w:pPr>
              <w:r w:rsidRPr="00DE1CF7">
                <w:rPr>
                  <w:sz w:val="24"/>
                  <w:szCs w:val="24"/>
                </w:rPr>
                <w:t>Beteiligung an den technischen Gremien der Normungsorganisationen.</w:t>
              </w:r>
            </w:p>
            <w:p w14:paraId="4F916B4D" w14:textId="77777777" w:rsidR="00EF218E" w:rsidRPr="00DE1CF7" w:rsidRDefault="00EF218E" w:rsidP="00EF218E">
              <w:pPr>
                <w:pStyle w:val="P68B1DB1-ListParagraph7"/>
                <w:numPr>
                  <w:ilvl w:val="0"/>
                  <w:numId w:val="30"/>
                </w:numPr>
                <w:spacing w:before="100" w:beforeAutospacing="1" w:after="100" w:afterAutospacing="1" w:line="240" w:lineRule="auto"/>
                <w:ind w:left="851" w:hanging="284"/>
                <w:jc w:val="both"/>
                <w:rPr>
                  <w:sz w:val="24"/>
                  <w:szCs w:val="24"/>
                </w:rPr>
              </w:pPr>
              <w:r w:rsidRPr="00DE1CF7">
                <w:rPr>
                  <w:sz w:val="24"/>
                  <w:szCs w:val="24"/>
                </w:rPr>
                <w:t>Unterstützung der Arbeit der Expertengruppe „Europäische Multi-Stakeholder-Plattform für die IKT-Normung“</w:t>
              </w:r>
            </w:p>
            <w:p w14:paraId="18CE5672" w14:textId="77777777" w:rsidR="00EF218E" w:rsidRPr="00DE1CF7" w:rsidRDefault="00EF218E" w:rsidP="00EF218E">
              <w:pPr>
                <w:pStyle w:val="P68B1DB1-ListParagraph7"/>
                <w:numPr>
                  <w:ilvl w:val="0"/>
                  <w:numId w:val="30"/>
                </w:numPr>
                <w:spacing w:before="100" w:beforeAutospacing="1" w:after="100" w:afterAutospacing="1" w:line="240" w:lineRule="auto"/>
                <w:ind w:left="851" w:hanging="284"/>
                <w:jc w:val="both"/>
                <w:rPr>
                  <w:sz w:val="24"/>
                  <w:szCs w:val="24"/>
                </w:rPr>
              </w:pPr>
              <w:r w:rsidRPr="00DE1CF7">
                <w:rPr>
                  <w:sz w:val="24"/>
                  <w:szCs w:val="24"/>
                </w:rPr>
                <w:lastRenderedPageBreak/>
                <w:t>Entwicklung von Unterstützungsmaßnahmen für innovative KMU und ihre Beteiligung an der Normung.</w:t>
              </w:r>
            </w:p>
            <w:p w14:paraId="3ED7155A" w14:textId="77777777" w:rsidR="00EF218E" w:rsidRPr="00DE1CF7" w:rsidRDefault="00EF218E" w:rsidP="00EF218E">
              <w:pPr>
                <w:pStyle w:val="ListParagraph"/>
                <w:spacing w:before="100" w:beforeAutospacing="1" w:after="100" w:afterAutospacing="1" w:line="240" w:lineRule="auto"/>
                <w:ind w:left="851"/>
                <w:jc w:val="both"/>
                <w:rPr>
                  <w:rFonts w:ascii="Times New Roman" w:eastAsia="Times New Roman" w:hAnsi="Times New Roman" w:cs="Times New Roman"/>
                  <w:sz w:val="24"/>
                  <w:szCs w:val="24"/>
                </w:rPr>
              </w:pPr>
            </w:p>
            <w:p w14:paraId="5C5AF18A" w14:textId="77777777" w:rsidR="00EF218E" w:rsidRPr="00DE1CF7" w:rsidRDefault="00EF218E" w:rsidP="00EF218E">
              <w:pPr>
                <w:pStyle w:val="P68B1DB1-Normal1"/>
                <w:spacing w:before="100" w:beforeAutospacing="1" w:after="100" w:afterAutospacing="1" w:line="240" w:lineRule="auto"/>
                <w:jc w:val="both"/>
                <w:rPr>
                  <w:szCs w:val="24"/>
                </w:rPr>
              </w:pPr>
              <w:r w:rsidRPr="00DE1CF7">
                <w:rPr>
                  <w:szCs w:val="24"/>
                </w:rPr>
                <w:t xml:space="preserve">Politische KOORDINATION – Politische Beratung </w:t>
              </w:r>
            </w:p>
            <w:p w14:paraId="27F11ECA" w14:textId="77777777" w:rsidR="00EF218E" w:rsidRPr="00DE1CF7" w:rsidRDefault="00EF218E" w:rsidP="00EF218E">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Beitrag zur Koordinierung der IKT-Normungstätigkeiten innerhalb der Kommission.</w:t>
              </w:r>
            </w:p>
            <w:p w14:paraId="6836F52F" w14:textId="77777777" w:rsidR="00EF218E" w:rsidRPr="00DE1CF7" w:rsidRDefault="00EF218E" w:rsidP="00EF218E">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Beitrag zur Sensibilisierung für Normung durch Kommunikationsmaßnahmen.</w:t>
              </w:r>
            </w:p>
            <w:p w14:paraId="1F69090F" w14:textId="77777777" w:rsidR="00EF218E" w:rsidRPr="00DE1CF7" w:rsidRDefault="00EF218E" w:rsidP="00EF218E">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 xml:space="preserve">Erstellung von Informationsvermerken und Reden sowie Vorbereitung von Präsentationen zu spezifischen politischen Themen. </w:t>
              </w:r>
            </w:p>
            <w:p w14:paraId="1B8D3707" w14:textId="77777777" w:rsidR="00EF218E" w:rsidRPr="00DE1CF7" w:rsidRDefault="00EF218E" w:rsidP="00EF218E">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 xml:space="preserve">Bei Bedarf Unterstützung bei der Organisation und Durchführung externer Veranstaltungen. </w:t>
              </w:r>
            </w:p>
            <w:p w14:paraId="1384D253" w14:textId="77777777" w:rsidR="00EF218E" w:rsidRPr="00DE1CF7" w:rsidRDefault="00EF218E" w:rsidP="00EF218E">
              <w:pPr>
                <w:pStyle w:val="P68B1DB1-ListParagraph7"/>
                <w:numPr>
                  <w:ilvl w:val="0"/>
                  <w:numId w:val="31"/>
                </w:numPr>
                <w:spacing w:before="100" w:beforeAutospacing="1" w:after="100" w:afterAutospacing="1" w:line="240" w:lineRule="auto"/>
                <w:ind w:left="851" w:hanging="284"/>
                <w:jc w:val="both"/>
                <w:rPr>
                  <w:sz w:val="24"/>
                  <w:szCs w:val="24"/>
                </w:rPr>
              </w:pPr>
              <w:r w:rsidRPr="00DE1CF7">
                <w:rPr>
                  <w:sz w:val="24"/>
                  <w:szCs w:val="24"/>
                </w:rPr>
                <w:t>Teilnahme an dienststellenübergreifenden Gruppen und Sitzungen in der Kommission im Bereich Normung.</w:t>
              </w:r>
            </w:p>
            <w:p w14:paraId="69857844" w14:textId="77777777" w:rsidR="00EF218E" w:rsidRPr="00DE1CF7" w:rsidRDefault="00EF218E" w:rsidP="00EF218E">
              <w:pPr>
                <w:pStyle w:val="P68B1DB1-ListParagraph8"/>
                <w:numPr>
                  <w:ilvl w:val="0"/>
                  <w:numId w:val="31"/>
                </w:numPr>
                <w:spacing w:before="100" w:beforeAutospacing="1" w:after="100" w:afterAutospacing="1" w:line="240" w:lineRule="auto"/>
                <w:ind w:left="851" w:hanging="284"/>
                <w:jc w:val="both"/>
                <w:rPr>
                  <w:sz w:val="24"/>
                  <w:szCs w:val="24"/>
                </w:rPr>
              </w:pPr>
              <w:r w:rsidRPr="00DE1CF7">
                <w:rPr>
                  <w:sz w:val="24"/>
                  <w:szCs w:val="24"/>
                </w:rPr>
                <w:t>Pflege von Kontakten mit Referaten innerhalb und außerhalb der Generaldirektion, anderen Dienststellen und Interessenträgern innerhalb und außerhalb der Kommission, z. B. europäischen und internationalen Normungsorganisationen, um die oben genannten Aufgaben wahrzunehmen.</w:t>
              </w:r>
            </w:p>
            <w:p w14:paraId="4063B8CC" w14:textId="77777777" w:rsidR="00EF218E" w:rsidRPr="00DE1CF7" w:rsidRDefault="00EF218E" w:rsidP="00EF218E">
              <w:pPr>
                <w:pStyle w:val="ListParagraph"/>
                <w:spacing w:before="100" w:beforeAutospacing="1" w:after="100" w:afterAutospacing="1" w:line="240" w:lineRule="auto"/>
                <w:ind w:left="851"/>
                <w:jc w:val="both"/>
                <w:rPr>
                  <w:rFonts w:ascii="Times New Roman" w:eastAsia="Times New Roman" w:hAnsi="Times New Roman" w:cs="Times New Roman"/>
                  <w:sz w:val="24"/>
                  <w:szCs w:val="24"/>
                </w:rPr>
              </w:pPr>
            </w:p>
            <w:p w14:paraId="4CB539C2" w14:textId="77777777" w:rsidR="00EF218E" w:rsidRPr="00DE1CF7" w:rsidRDefault="00EF218E" w:rsidP="00EF218E">
              <w:pPr>
                <w:pStyle w:val="P68B1DB1-Normal5"/>
                <w:spacing w:after="0" w:line="240" w:lineRule="auto"/>
                <w:ind w:left="426"/>
                <w:jc w:val="both"/>
                <w:rPr>
                  <w:sz w:val="24"/>
                  <w:szCs w:val="24"/>
                </w:rPr>
              </w:pPr>
              <w:r w:rsidRPr="00DE1CF7">
                <w:rPr>
                  <w:sz w:val="24"/>
                  <w:szCs w:val="24"/>
                </w:rPr>
                <w:t>PROGRAMM-/PROZESS-/PROJEKTMANAGEMENT</w:t>
              </w:r>
            </w:p>
            <w:p w14:paraId="5F75A489" w14:textId="77777777" w:rsidR="00EF218E" w:rsidRPr="00DE1CF7" w:rsidRDefault="00EF218E" w:rsidP="00EF218E">
              <w:pPr>
                <w:pStyle w:val="P68B1DB1-ListParagraph8"/>
                <w:numPr>
                  <w:ilvl w:val="0"/>
                  <w:numId w:val="32"/>
                </w:numPr>
                <w:spacing w:after="0" w:line="240" w:lineRule="auto"/>
                <w:ind w:left="851" w:hanging="284"/>
                <w:jc w:val="both"/>
                <w:rPr>
                  <w:sz w:val="24"/>
                  <w:szCs w:val="24"/>
                </w:rPr>
              </w:pPr>
              <w:r w:rsidRPr="00DE1CF7">
                <w:rPr>
                  <w:sz w:val="24"/>
                  <w:szCs w:val="24"/>
                </w:rPr>
                <w:t>Mitwirkung an den Strategien, der Organisation, Lenkung, Überwachung der Ergebnisse und Prioritäten des IKT-Normungsprojekts und Gewährleistung ihrer Umsetzung.</w:t>
              </w:r>
            </w:p>
            <w:p w14:paraId="3F360C89" w14:textId="77777777" w:rsidR="00EF218E" w:rsidRPr="00DE1CF7" w:rsidRDefault="00EF218E" w:rsidP="00EF218E">
              <w:pPr>
                <w:pStyle w:val="P68B1DB1-ListParagraph8"/>
                <w:numPr>
                  <w:ilvl w:val="0"/>
                  <w:numId w:val="32"/>
                </w:numPr>
                <w:spacing w:after="0" w:line="240" w:lineRule="auto"/>
                <w:ind w:left="851" w:hanging="284"/>
                <w:jc w:val="both"/>
                <w:rPr>
                  <w:sz w:val="24"/>
                  <w:szCs w:val="24"/>
                </w:rPr>
              </w:pPr>
              <w:r w:rsidRPr="00DE1CF7">
                <w:rPr>
                  <w:sz w:val="24"/>
                  <w:szCs w:val="24"/>
                </w:rPr>
                <w:t>Monitoring der Aktivitäten anhand der vorgegebenen Planung, Vorlage von Zwischenberichten.</w:t>
              </w:r>
            </w:p>
            <w:p w14:paraId="2A0F153A" w14:textId="5F483319" w:rsidR="009321C6" w:rsidRPr="00CB1590" w:rsidRDefault="00007A29" w:rsidP="009321C6">
              <w:pPr>
                <w:rPr>
                  <w:lang w:val="en-US" w:eastAsia="en-GB"/>
                </w:rPr>
              </w:pP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3"/>
  </w:num>
  <w:num w:numId="17" w16cid:durableId="229002306">
    <w:abstractNumId w:val="9"/>
  </w:num>
  <w:num w:numId="18" w16cid:durableId="630205849">
    <w:abstractNumId w:val="10"/>
  </w:num>
  <w:num w:numId="19" w16cid:durableId="2102024247">
    <w:abstractNumId w:val="24"/>
  </w:num>
  <w:num w:numId="20" w16cid:durableId="759369245">
    <w:abstractNumId w:val="16"/>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0298560">
    <w:abstractNumId w:val="18"/>
  </w:num>
  <w:num w:numId="31" w16cid:durableId="1099792023">
    <w:abstractNumId w:val="14"/>
  </w:num>
  <w:num w:numId="32" w16cid:durableId="10340395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7A29"/>
    <w:rsid w:val="000143F7"/>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B57DF"/>
    <w:rsid w:val="007C07D8"/>
    <w:rsid w:val="007D0EC6"/>
    <w:rsid w:val="00803007"/>
    <w:rsid w:val="008102E0"/>
    <w:rsid w:val="008870DD"/>
    <w:rsid w:val="00897026"/>
    <w:rsid w:val="0089735C"/>
    <w:rsid w:val="008D04E3"/>
    <w:rsid w:val="008D52CF"/>
    <w:rsid w:val="009321C6"/>
    <w:rsid w:val="009442BE"/>
    <w:rsid w:val="009F216F"/>
    <w:rsid w:val="00A431AC"/>
    <w:rsid w:val="00A71FAD"/>
    <w:rsid w:val="00AB56F9"/>
    <w:rsid w:val="00AC5FF8"/>
    <w:rsid w:val="00AE6941"/>
    <w:rsid w:val="00B73B91"/>
    <w:rsid w:val="00BF6139"/>
    <w:rsid w:val="00C07259"/>
    <w:rsid w:val="00C27C81"/>
    <w:rsid w:val="00CB1590"/>
    <w:rsid w:val="00CD33B4"/>
    <w:rsid w:val="00D24DE3"/>
    <w:rsid w:val="00D605F4"/>
    <w:rsid w:val="00DA711C"/>
    <w:rsid w:val="00E01792"/>
    <w:rsid w:val="00E35460"/>
    <w:rsid w:val="00EB3060"/>
    <w:rsid w:val="00EC5C6B"/>
    <w:rsid w:val="00ED6452"/>
    <w:rsid w:val="00EF218E"/>
    <w:rsid w:val="00F60E71"/>
    <w:rsid w:val="00FC400A"/>
    <w:rsid w:val="04E876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5">
    <w:name w:val="P68B1DB1-Normal5"/>
    <w:basedOn w:val="Normal"/>
    <w:rsid w:val="00EF218E"/>
    <w:pPr>
      <w:spacing w:after="200" w:line="276" w:lineRule="auto"/>
      <w:jc w:val="left"/>
    </w:pPr>
    <w:rPr>
      <w:color w:val="000000"/>
      <w:sz w:val="22"/>
      <w:lang w:val="de"/>
    </w:rPr>
  </w:style>
  <w:style w:type="paragraph" w:styleId="ListParagraph">
    <w:name w:val="List Paragraph"/>
    <w:basedOn w:val="Normal"/>
    <w:uiPriority w:val="34"/>
    <w:qFormat/>
    <w:locked/>
    <w:rsid w:val="00EF218E"/>
    <w:pPr>
      <w:spacing w:after="200" w:line="276" w:lineRule="auto"/>
      <w:ind w:left="720"/>
      <w:contextualSpacing/>
      <w:jc w:val="left"/>
    </w:pPr>
    <w:rPr>
      <w:rFonts w:asciiTheme="minorHAnsi" w:eastAsiaTheme="minorHAnsi" w:hAnsiTheme="minorHAnsi" w:cstheme="minorBidi"/>
      <w:sz w:val="22"/>
      <w:lang w:val="de"/>
    </w:rPr>
  </w:style>
  <w:style w:type="paragraph" w:customStyle="1" w:styleId="P68B1DB1-Normal1">
    <w:name w:val="P68B1DB1-Normal1"/>
    <w:basedOn w:val="Normal"/>
    <w:rsid w:val="00EF218E"/>
    <w:pPr>
      <w:spacing w:after="200" w:line="276" w:lineRule="auto"/>
      <w:jc w:val="left"/>
    </w:pPr>
    <w:rPr>
      <w:lang w:val="de"/>
    </w:rPr>
  </w:style>
  <w:style w:type="paragraph" w:customStyle="1" w:styleId="P68B1DB1-Normal2">
    <w:name w:val="P68B1DB1-Normal2"/>
    <w:basedOn w:val="Normal"/>
    <w:rsid w:val="00EF218E"/>
    <w:pPr>
      <w:spacing w:after="200" w:line="276" w:lineRule="auto"/>
      <w:jc w:val="left"/>
    </w:pPr>
    <w:rPr>
      <w:b/>
      <w:lang w:val="de"/>
    </w:rPr>
  </w:style>
  <w:style w:type="paragraph" w:customStyle="1" w:styleId="P68B1DB1-Normal6">
    <w:name w:val="P68B1DB1-Normal6"/>
    <w:basedOn w:val="Normal"/>
    <w:rsid w:val="00EF218E"/>
    <w:pPr>
      <w:spacing w:after="200" w:line="276" w:lineRule="auto"/>
      <w:jc w:val="left"/>
    </w:pPr>
    <w:rPr>
      <w:sz w:val="22"/>
      <w:lang w:val="de"/>
    </w:rPr>
  </w:style>
  <w:style w:type="paragraph" w:customStyle="1" w:styleId="P68B1DB1-ListParagraph7">
    <w:name w:val="P68B1DB1-ListParagraph7"/>
    <w:basedOn w:val="ListParagraph"/>
    <w:rsid w:val="00EF218E"/>
    <w:rPr>
      <w:rFonts w:ascii="Times New Roman" w:eastAsia="Times New Roman" w:hAnsi="Times New Roman" w:cs="Times New Roman"/>
    </w:rPr>
  </w:style>
  <w:style w:type="paragraph" w:customStyle="1" w:styleId="P68B1DB1-ListParagraph8">
    <w:name w:val="P68B1DB1-ListParagraph8"/>
    <w:basedOn w:val="ListParagraph"/>
    <w:rsid w:val="00EF218E"/>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E701FE860954E3AAB67E34E5CC38A8A"/>
        <w:category>
          <w:name w:val="General"/>
          <w:gallery w:val="placeholder"/>
        </w:category>
        <w:types>
          <w:type w:val="bbPlcHdr"/>
        </w:types>
        <w:behaviors>
          <w:behavior w:val="content"/>
        </w:behaviors>
        <w:guid w:val="{33C30152-E5E3-45C2-AA90-2519FA834985}"/>
      </w:docPartPr>
      <w:docPartBody>
        <w:p w:rsidR="007B57DF" w:rsidRDefault="007B57DF" w:rsidP="007B57DF">
          <w:pPr>
            <w:pStyle w:val="9E701FE860954E3AAB67E34E5CC38A8A"/>
          </w:pPr>
          <w:r w:rsidRPr="00803007">
            <w:rPr>
              <w:rStyle w:val="PlaceholderText"/>
            </w:rPr>
            <w:t>Click or tap here to enter text.</w:t>
          </w:r>
        </w:p>
      </w:docPartBody>
    </w:docPart>
    <w:docPart>
      <w:docPartPr>
        <w:name w:val="05FAA5AA2F724A20AA09158EAC28F823"/>
        <w:category>
          <w:name w:val="General"/>
          <w:gallery w:val="placeholder"/>
        </w:category>
        <w:types>
          <w:type w:val="bbPlcHdr"/>
        </w:types>
        <w:behaviors>
          <w:behavior w:val="content"/>
        </w:behaviors>
        <w:guid w:val="{3DB9F31D-B2A3-448B-A811-46C2E3DBC4FC}"/>
      </w:docPartPr>
      <w:docPartBody>
        <w:p w:rsidR="007B57DF" w:rsidRDefault="007B57DF" w:rsidP="007B57DF">
          <w:pPr>
            <w:pStyle w:val="05FAA5AA2F724A20AA09158EAC28F823"/>
          </w:pPr>
          <w:r w:rsidRPr="00BD2312">
            <w:rPr>
              <w:rStyle w:val="PlaceholderText"/>
            </w:rPr>
            <w:t>Click or tap here to enter text.</w:t>
          </w:r>
        </w:p>
      </w:docPartBody>
    </w:docPart>
    <w:docPart>
      <w:docPartPr>
        <w:name w:val="ADEB452E1053458BB47C5131850289DB"/>
        <w:category>
          <w:name w:val="General"/>
          <w:gallery w:val="placeholder"/>
        </w:category>
        <w:types>
          <w:type w:val="bbPlcHdr"/>
        </w:types>
        <w:behaviors>
          <w:behavior w:val="content"/>
        </w:behaviors>
        <w:guid w:val="{0F17F3F0-928F-4B53-B140-D98FE24872A9}"/>
      </w:docPartPr>
      <w:docPartBody>
        <w:p w:rsidR="007B57DF" w:rsidRDefault="007B57DF" w:rsidP="007B57DF">
          <w:pPr>
            <w:pStyle w:val="ADEB452E1053458BB47C5131850289D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B57DF"/>
    <w:rsid w:val="008870DD"/>
    <w:rsid w:val="00897026"/>
    <w:rsid w:val="008A7C76"/>
    <w:rsid w:val="008C406B"/>
    <w:rsid w:val="008D04E3"/>
    <w:rsid w:val="00A71FAD"/>
    <w:rsid w:val="00B21BDA"/>
    <w:rsid w:val="00DB168D"/>
    <w:rsid w:val="00E32AF1"/>
    <w:rsid w:val="00F02C41"/>
    <w:rsid w:val="00FC400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B57DF"/>
    <w:rPr>
      <w:color w:val="288061"/>
    </w:rPr>
  </w:style>
  <w:style w:type="paragraph" w:customStyle="1" w:styleId="3F8B7399541147C1B1E84701FCECAED2">
    <w:name w:val="3F8B7399541147C1B1E84701FCECAED2"/>
    <w:rsid w:val="00A71FAD"/>
  </w:style>
  <w:style w:type="paragraph" w:customStyle="1" w:styleId="9E701FE860954E3AAB67E34E5CC38A8A">
    <w:name w:val="9E701FE860954E3AAB67E34E5CC38A8A"/>
    <w:rsid w:val="007B57DF"/>
    <w:pPr>
      <w:spacing w:line="278" w:lineRule="auto"/>
    </w:pPr>
    <w:rPr>
      <w:kern w:val="2"/>
      <w:sz w:val="24"/>
      <w:szCs w:val="24"/>
      <w14:ligatures w14:val="standardContextual"/>
    </w:rPr>
  </w:style>
  <w:style w:type="paragraph" w:customStyle="1" w:styleId="05FAA5AA2F724A20AA09158EAC28F823">
    <w:name w:val="05FAA5AA2F724A20AA09158EAC28F823"/>
    <w:rsid w:val="007B57DF"/>
    <w:pPr>
      <w:spacing w:line="278" w:lineRule="auto"/>
    </w:pPr>
    <w:rPr>
      <w:kern w:val="2"/>
      <w:sz w:val="24"/>
      <w:szCs w:val="24"/>
      <w14:ligatures w14:val="standardContextual"/>
    </w:rPr>
  </w:style>
  <w:style w:type="paragraph" w:customStyle="1" w:styleId="ADEB452E1053458BB47C5131850289DB">
    <w:name w:val="ADEB452E1053458BB47C5131850289DB"/>
    <w:rsid w:val="007B57DF"/>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1929b814-5a78-4bdc-9841-d8b9ef424f65"/>
    <ds:schemaRef ds:uri="http://schemas.microsoft.com/office/infopath/2007/PartnerControls"/>
    <ds:schemaRef ds:uri="http://schemas.microsoft.com/sharepoint/v3/fields"/>
    <ds:schemaRef ds:uri="http://purl.org/dc/elements/1.1/"/>
    <ds:schemaRef ds:uri="08927195-b699-4be0-9ee2-6c66dc215b5a"/>
    <ds:schemaRef ds:uri="a41a97bf-0494-41d8-ba3d-259bd7771890"/>
    <ds:schemaRef ds:uri="http://purl.org/dc/dcmitype/"/>
    <ds:schemaRef ds:uri="30c666ed-fe46-43d6-bf30-6de2567680e6"/>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BB1EC7B1-206C-4A6D-A32B-920111D1E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1341</Words>
  <Characters>7645</Characters>
  <Application>Microsoft Office Word</Application>
  <DocSecurity>0</DocSecurity>
  <PresentationFormat>Microsoft Word 14.0</PresentationFormat>
  <Lines>63</Lines>
  <Paragraphs>17</Paragraphs>
  <ScaleCrop>true</ScaleCrop>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2025-05-08T11:19:00Z</dcterms:created>
  <dcterms:modified xsi:type="dcterms:W3CDTF">2025-05-14T12:19:00Z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