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530A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530A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530A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530A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530A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530A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2632B9"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E476627" w:rsidR="00377580" w:rsidRPr="002632B9" w:rsidRDefault="002632B9" w:rsidP="005F6927">
                <w:pPr>
                  <w:tabs>
                    <w:tab w:val="left" w:pos="426"/>
                  </w:tabs>
                  <w:rPr>
                    <w:bCs/>
                    <w:lang w:val="fr-BE" w:eastAsia="en-GB"/>
                  </w:rPr>
                </w:pPr>
                <w:r>
                  <w:rPr>
                    <w:bCs/>
                    <w:lang w:val="fr-BE" w:eastAsia="en-GB"/>
                  </w:rPr>
                  <w:t xml:space="preserve">TAXUD – C.3 - </w:t>
                </w:r>
                <w:r w:rsidRPr="002632B9">
                  <w:rPr>
                    <w:bCs/>
                    <w:lang w:val="fr-BE" w:eastAsia="en-GB"/>
                  </w:rPr>
                  <w:t>Fiscalité comportementale et autres impôts indirects</w:t>
                </w:r>
              </w:p>
            </w:tc>
          </w:sdtContent>
        </w:sdt>
      </w:tr>
      <w:tr w:rsidR="00377580" w:rsidRPr="002632B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972ADEE" w:rsidR="00377580" w:rsidRPr="00080A71" w:rsidRDefault="002632B9" w:rsidP="005F6927">
                <w:pPr>
                  <w:tabs>
                    <w:tab w:val="left" w:pos="426"/>
                  </w:tabs>
                  <w:rPr>
                    <w:bCs/>
                    <w:lang w:val="en-IE" w:eastAsia="en-GB"/>
                  </w:rPr>
                </w:pPr>
                <w:r>
                  <w:rPr>
                    <w:bCs/>
                    <w:lang w:val="fr-BE" w:eastAsia="en-GB"/>
                  </w:rPr>
                  <w:t>426111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7C3CA2B" w:rsidR="00377580" w:rsidRPr="00080A71" w:rsidRDefault="002632B9" w:rsidP="005F6927">
                <w:pPr>
                  <w:tabs>
                    <w:tab w:val="left" w:pos="426"/>
                  </w:tabs>
                  <w:rPr>
                    <w:bCs/>
                    <w:lang w:val="en-IE" w:eastAsia="en-GB"/>
                  </w:rPr>
                </w:pPr>
                <w:r>
                  <w:rPr>
                    <w:bCs/>
                    <w:lang w:val="fr-BE" w:eastAsia="en-GB"/>
                  </w:rPr>
                  <w:t>David BOUBLIL</w:t>
                </w:r>
              </w:p>
            </w:sdtContent>
          </w:sdt>
          <w:p w14:paraId="32DD8032" w14:textId="161BFD25" w:rsidR="00377580" w:rsidRPr="001D3EEC" w:rsidRDefault="00F530A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632B9">
                  <w:rPr>
                    <w:bCs/>
                    <w:lang w:val="fr-BE" w:eastAsia="en-GB"/>
                  </w:rPr>
                  <w:t>3e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20284872" w:rsidR="00377580" w:rsidRPr="001D3EEC" w:rsidRDefault="00F530A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632B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632B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DAB1CB1"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5BFC696"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530A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530A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530A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AFF6B09"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2632B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BA7D3D2"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2189445"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2632B9">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id w:val="-1007441644"/>
            <w:placeholder>
              <w:docPart w:val="2CEB8DF82A1E46DD9A997004FB82E2CD"/>
            </w:placeholder>
          </w:sdtPr>
          <w:sdtEndPr/>
          <w:sdtContent>
            <w:p w14:paraId="6662EF4F" w14:textId="77777777" w:rsidR="002632B9" w:rsidRDefault="002632B9" w:rsidP="002632B9">
              <w:r>
                <w:t xml:space="preserve">La direction générale de la fiscalité et de l’union douanière (DG TAXUD) a pour mission de promouvoir des politiques équitables et durables qui génèrent des recettes pour l’UE et ses États membres et de faire en sorte que les citoyens et les entreprises de l’UE tirent parti du commerce mondial et d’un marché unique sûr et sécurisé, dont les frontières sont protégées. </w:t>
              </w:r>
            </w:p>
            <w:p w14:paraId="7C839A8A" w14:textId="77777777" w:rsidR="002632B9" w:rsidRPr="003F366F" w:rsidRDefault="002632B9" w:rsidP="002632B9">
              <w:r>
                <w:lastRenderedPageBreak/>
                <w:t>Au sein de la DG TAXUD, la direction C est chargée d’élaborer une politique globale dans le domaine de la fiscalité indirecte, y compris la taxation du secteur financier ainsi que la fiscalité environnementale, la taxation du secteur des transports et de l’énergie, la TVA, les droits d’accise, les taxes comportementales et l’administration fiscale. Elle est également chargée d’élaborer et de mettre en œuvre le mécanisme d’ajustement carbone aux frontières et les initiatives fiscales dans le cadre du pacte vert pour l’Europe.</w:t>
              </w:r>
            </w:p>
            <w:p w14:paraId="5FCC8F1A" w14:textId="77777777" w:rsidR="002632B9" w:rsidRDefault="002632B9" w:rsidP="002632B9">
              <w:r>
                <w:t xml:space="preserve">L’unité TAXUD.C.3 «Fiscalité comportementale et autres impôts indirects» est chargée d’élaborer et de coordonner des politiques dans le domaine de la fiscalité qui poursuivent des objectifs autres que la perception de recettes, tels que, par exemple, la promotion de la santé publique, tout en assurant leur bon fonctionnement au niveau de l’UE.  </w:t>
              </w:r>
            </w:p>
            <w:p w14:paraId="459AB2BC" w14:textId="77777777" w:rsidR="002632B9" w:rsidRDefault="002632B9" w:rsidP="002632B9">
              <w:r>
                <w:t>L’unité TAXUD.C.3 est chargée d’assurer le bon fonctionnement du système d’accise harmonisée de l’UE (EMCS, législation horizontale en matière d’accise), de contribuer à l’élaboration de la politique fiscale de l’UE et à la coordination des questions liées à la fiscalité indirecte (autres que la TVA et la fiscalité verte) telles que la taxation des produits du tabac et des boissons alcoolisées, en élaborant la législation de l’UE et d’autres initiatives appropriées dans le domaine de la fiscalité indirecte et en assurant leur suivi conformément aux objectifs du traité, et notamment en respectant les besoins du marché intérieur et de l’union de la santé, ainsi qu’à la lutte contre la fraude fiscale. Il s’agit notamment de traiter des aspects liés à l’élaboration, à l’interprétation et à l’application du système d’accise de l’UE mais portant aussi sur d’autres impôts indirects non harmonisés, en particulier les taxes comportementales relatives à la santé. Les tâches à accomplir, dans le domaine décrit ci-dessus, consistent à gérer les procédures d’infraction et les litiges devant la Cour de justice, y compris les renvois préjudiciels, à traiter les plaintes ainsi que les pétitions soumises au Parlement européen, ce qui inclut la préparation des réponses aux questions parlementaires et aux lettres des citoyens et des opérateurs européens, ainsi qu’à apporter une assistance juridique aux unités chargées de la fiscalité indirecte au sein de la direction C et à formuler des avis sur les affaires d’aides d’État.</w:t>
              </w:r>
            </w:p>
          </w:sdtContent>
        </w:sdt>
        <w:p w14:paraId="18140A21" w14:textId="5AC7AB6A" w:rsidR="001A0074" w:rsidRPr="00080A71" w:rsidRDefault="00F530AE"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id w:val="300274025"/>
            <w:placeholder>
              <w:docPart w:val="C5FF61C033194D55B0D0440DC1808020"/>
            </w:placeholder>
          </w:sdtPr>
          <w:sdtEndPr/>
          <w:sdtContent>
            <w:p w14:paraId="0C1C8BF2" w14:textId="77777777" w:rsidR="002632B9" w:rsidRDefault="002632B9" w:rsidP="002632B9">
              <w:r>
                <w:t xml:space="preserve">Fournir des conseils et apporter une assistance et une contribution en matière de gestion de projets, d’analyse stratégique et juridique et de propositions législatives dans le domaine des droits d’accise, notamment en ce qui concerne les règles et procédures applicables aux mouvements de produits soumis à accise, y compris les systèmes informatiques utilisés dans ce cadre. </w:t>
              </w:r>
            </w:p>
            <w:p w14:paraId="3E31793D" w14:textId="77777777" w:rsidR="002632B9" w:rsidRDefault="002632B9" w:rsidP="002632B9">
              <w:r>
                <w:t>Préparer des projets de documents de travail, de notes d’information, de discours et d’autres documents, notamment à l’intention des groupes de travail, des comités, etc. Analyser les possibilités d'action pertinentes dans le domaine des droits d’accise et des taxes comportementales, tant en élaborant des politiques en matière de fiscalité indirecte qu’en déterminant les éléments relevant de la fiscalité indirecte dans les stratégies et initiatives plus globales.</w:t>
              </w:r>
            </w:p>
            <w:p w14:paraId="0B04E717" w14:textId="77777777" w:rsidR="002632B9" w:rsidRDefault="002632B9" w:rsidP="002632B9">
              <w:r>
                <w:t>Assurer le suivi de la mise en œuvre et de l’application de la législation de l’UE dans le domaine des droits d’accise et des taxes comportementales.</w:t>
              </w:r>
            </w:p>
            <w:p w14:paraId="56220D3C" w14:textId="77777777" w:rsidR="002632B9" w:rsidRDefault="002632B9" w:rsidP="002632B9">
              <w:r>
                <w:lastRenderedPageBreak/>
                <w:t>Répondre aux questions des opérateurs, des administrations nationales et des services de la Commission sur l’interprétation de la législation de l’UE en vigueur en matière d’accise.</w:t>
              </w:r>
            </w:p>
            <w:p w14:paraId="73629341" w14:textId="77777777" w:rsidR="002632B9" w:rsidRPr="00AF7D78" w:rsidRDefault="002632B9" w:rsidP="002632B9">
              <w:r>
                <w:t>Le poste implique des contacts permanents avec d’autres services de la Commission, d’autres institutions de l’UE et les États membres, ainsi qu’avec des groupes d'entreprises, des universitaires et d’autres parties intéressées.</w:t>
              </w:r>
            </w:p>
          </w:sdtContent>
        </w:sdt>
        <w:p w14:paraId="3B1D2FA2" w14:textId="27B82A5D" w:rsidR="001A0074" w:rsidRPr="00080A71" w:rsidRDefault="00F530AE"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id w:val="-209197804"/>
            <w:placeholder>
              <w:docPart w:val="9E2694583153424CB11D968AAD21CC75"/>
            </w:placeholder>
          </w:sdtPr>
          <w:sdtEndPr/>
          <w:sdtContent>
            <w:p w14:paraId="62BD2743" w14:textId="77777777" w:rsidR="002632B9" w:rsidRDefault="002632B9" w:rsidP="002632B9">
              <w:r>
                <w:t xml:space="preserve">Un minimum de 5 ans d’expérience professionnelle, dont 3 ans d’expérience professionnelle dans le domaine de la fiscalité indirecte (TVA/droits d’accise et mouvements de produits soumis à accise/taxes relatives à la santé ou autres taxes comportementales) et des connaissances solides en économie ou en droit. </w:t>
              </w:r>
            </w:p>
            <w:p w14:paraId="0D9813FA" w14:textId="77777777" w:rsidR="002632B9" w:rsidRDefault="002632B9" w:rsidP="002632B9">
              <w:r>
                <w:t xml:space="preserve">Une expérience en matière de politiques de contrôle dans le domaine de la santé publique et en économie fiscale comportementale serait un atout. </w:t>
              </w:r>
            </w:p>
            <w:p w14:paraId="1E43211C" w14:textId="77777777" w:rsidR="002632B9" w:rsidRDefault="002632B9" w:rsidP="002632B9">
              <w:r>
                <w:t>Une connaissance de la directive établissant le régime général d’accise et une compréhension de la taxation du tabac, de l’alcool et des boissons sucrées constitueraient un plus. Une connaissance des taxes indirectes non harmonisées serait également un avantage.</w:t>
              </w:r>
            </w:p>
            <w:p w14:paraId="1059E6FF" w14:textId="77777777" w:rsidR="002632B9" w:rsidRDefault="002632B9" w:rsidP="002632B9">
              <w:r>
                <w:t xml:space="preserve">La connaissance du système d’informatisation utilisé pour les mouvements et le contrôle des produits soumis à accise (EMCS) serait un atout. </w:t>
              </w:r>
            </w:p>
            <w:p w14:paraId="63FF8479" w14:textId="77777777" w:rsidR="002632B9" w:rsidRDefault="002632B9" w:rsidP="002632B9">
              <w:r>
                <w:t>Une expérience dans la rédaction de textes législatifs, de documents de consultation ou d’orientation, d’études et de rapports dans les domaines susmentionnés.</w:t>
              </w:r>
            </w:p>
            <w:p w14:paraId="5C8A0CDE" w14:textId="77777777" w:rsidR="002632B9" w:rsidRDefault="002632B9" w:rsidP="002632B9">
              <w:r>
                <w:t>Une expérience de l’évaluation des politiques et de leurs incidences. Une expérience de la gestion de contractants externes constituerait un atout.</w:t>
              </w:r>
            </w:p>
            <w:p w14:paraId="371C849B" w14:textId="77777777" w:rsidR="002632B9" w:rsidRDefault="002632B9" w:rsidP="002632B9">
              <w:r>
                <w:t xml:space="preserve">De bonnes capacités analytiques et rédactionnelles sont requises. </w:t>
              </w:r>
            </w:p>
            <w:p w14:paraId="5C17ED9F" w14:textId="77777777" w:rsidR="002632B9" w:rsidRDefault="002632B9" w:rsidP="002632B9">
              <w:r>
                <w:t>La capacité à gérer des informations complexes, à les présenter de manière synthétique et à proposer des solutions est un atout.</w:t>
              </w:r>
            </w:p>
            <w:p w14:paraId="1D03D943" w14:textId="77777777" w:rsidR="002632B9" w:rsidRPr="00AF7D78" w:rsidRDefault="002632B9" w:rsidP="002632B9">
              <w:r>
                <w:t>Une connaissance professionnelle de l’anglais et une connaissance satisfaisante d’une autre langue de l’UE.</w:t>
              </w:r>
            </w:p>
          </w:sdtContent>
        </w:sdt>
        <w:p w14:paraId="7E409EA7" w14:textId="37B2936A" w:rsidR="001A0074" w:rsidRPr="00017FBA" w:rsidRDefault="00F530AE"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6412"/>
    <w:rsid w:val="000914BF"/>
    <w:rsid w:val="00097587"/>
    <w:rsid w:val="00105F89"/>
    <w:rsid w:val="001A0074"/>
    <w:rsid w:val="001D3EEC"/>
    <w:rsid w:val="00215A56"/>
    <w:rsid w:val="0024480A"/>
    <w:rsid w:val="002632B9"/>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D6B85"/>
    <w:rsid w:val="00BF389A"/>
    <w:rsid w:val="00C518F5"/>
    <w:rsid w:val="00D703FC"/>
    <w:rsid w:val="00D82B48"/>
    <w:rsid w:val="00DC5C83"/>
    <w:rsid w:val="00E0579E"/>
    <w:rsid w:val="00E5708E"/>
    <w:rsid w:val="00E850B7"/>
    <w:rsid w:val="00E927FE"/>
    <w:rsid w:val="00F530AE"/>
    <w:rsid w:val="00F54E8D"/>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083337111">
      <w:bodyDiv w:val="1"/>
      <w:marLeft w:val="0"/>
      <w:marRight w:val="0"/>
      <w:marTop w:val="0"/>
      <w:marBottom w:val="0"/>
      <w:divBdr>
        <w:top w:val="none" w:sz="0" w:space="0" w:color="auto"/>
        <w:left w:val="none" w:sz="0" w:space="0" w:color="auto"/>
        <w:bottom w:val="none" w:sz="0" w:space="0" w:color="auto"/>
        <w:right w:val="none" w:sz="0" w:space="0" w:color="auto"/>
      </w:divBdr>
      <w:divsChild>
        <w:div w:id="1794057067">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2CEB8DF82A1E46DD9A997004FB82E2CD"/>
        <w:category>
          <w:name w:val="General"/>
          <w:gallery w:val="placeholder"/>
        </w:category>
        <w:types>
          <w:type w:val="bbPlcHdr"/>
        </w:types>
        <w:behaviors>
          <w:behavior w:val="content"/>
        </w:behaviors>
        <w:guid w:val="{BB8486BE-36E2-4EB0-B653-4C6097BC127F}"/>
      </w:docPartPr>
      <w:docPartBody>
        <w:p w:rsidR="009C032D" w:rsidRDefault="009C032D" w:rsidP="009C032D">
          <w:pPr>
            <w:pStyle w:val="2CEB8DF82A1E46DD9A997004FB82E2CD"/>
          </w:pPr>
          <w:r w:rsidRPr="00BD2312">
            <w:rPr>
              <w:rStyle w:val="PlaceholderText"/>
            </w:rPr>
            <w:t>Click or tap here to enter text.</w:t>
          </w:r>
        </w:p>
      </w:docPartBody>
    </w:docPart>
    <w:docPart>
      <w:docPartPr>
        <w:name w:val="C5FF61C033194D55B0D0440DC1808020"/>
        <w:category>
          <w:name w:val="General"/>
          <w:gallery w:val="placeholder"/>
        </w:category>
        <w:types>
          <w:type w:val="bbPlcHdr"/>
        </w:types>
        <w:behaviors>
          <w:behavior w:val="content"/>
        </w:behaviors>
        <w:guid w:val="{1FB4765C-77A5-4CE4-AB11-8E051B45AA5D}"/>
      </w:docPartPr>
      <w:docPartBody>
        <w:p w:rsidR="009C032D" w:rsidRDefault="009C032D" w:rsidP="009C032D">
          <w:pPr>
            <w:pStyle w:val="C5FF61C033194D55B0D0440DC1808020"/>
          </w:pPr>
          <w:r w:rsidRPr="00BD2312">
            <w:rPr>
              <w:rStyle w:val="PlaceholderText"/>
            </w:rPr>
            <w:t>Click or tap here to enter text.</w:t>
          </w:r>
        </w:p>
      </w:docPartBody>
    </w:docPart>
    <w:docPart>
      <w:docPartPr>
        <w:name w:val="9E2694583153424CB11D968AAD21CC75"/>
        <w:category>
          <w:name w:val="General"/>
          <w:gallery w:val="placeholder"/>
        </w:category>
        <w:types>
          <w:type w:val="bbPlcHdr"/>
        </w:types>
        <w:behaviors>
          <w:behavior w:val="content"/>
        </w:behaviors>
        <w:guid w:val="{618F2D8E-C216-4934-BD30-E9C83EE2DE86}"/>
      </w:docPartPr>
      <w:docPartBody>
        <w:p w:rsidR="009C032D" w:rsidRDefault="009C032D" w:rsidP="009C032D">
          <w:pPr>
            <w:pStyle w:val="9E2694583153424CB11D968AAD21CC7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C027E79"/>
    <w:multiLevelType w:val="multilevel"/>
    <w:tmpl w:val="904646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30423866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05F89"/>
    <w:rsid w:val="00534FB6"/>
    <w:rsid w:val="007818B4"/>
    <w:rsid w:val="008F2A96"/>
    <w:rsid w:val="00983F83"/>
    <w:rsid w:val="009C032D"/>
    <w:rsid w:val="00B36F01"/>
    <w:rsid w:val="00BD6B85"/>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032D"/>
    <w:rPr>
      <w:color w:val="288061"/>
    </w:rPr>
  </w:style>
  <w:style w:type="paragraph" w:customStyle="1" w:styleId="2CEB8DF82A1E46DD9A997004FB82E2CD">
    <w:name w:val="2CEB8DF82A1E46DD9A997004FB82E2CD"/>
    <w:rsid w:val="009C032D"/>
    <w:pPr>
      <w:spacing w:line="278" w:lineRule="auto"/>
    </w:pPr>
    <w:rPr>
      <w:kern w:val="2"/>
      <w:sz w:val="24"/>
      <w:szCs w:val="24"/>
      <w:lang w:val="fr-BE" w:eastAsia="fr-BE"/>
      <w14:ligatures w14:val="standardContextual"/>
    </w:rPr>
  </w:style>
  <w:style w:type="paragraph" w:customStyle="1" w:styleId="C5FF61C033194D55B0D0440DC1808020">
    <w:name w:val="C5FF61C033194D55B0D0440DC1808020"/>
    <w:rsid w:val="009C032D"/>
    <w:pPr>
      <w:spacing w:line="278" w:lineRule="auto"/>
    </w:pPr>
    <w:rPr>
      <w:kern w:val="2"/>
      <w:sz w:val="24"/>
      <w:szCs w:val="24"/>
      <w:lang w:val="fr-BE" w:eastAsia="fr-BE"/>
      <w14:ligatures w14:val="standardContextual"/>
    </w:rPr>
  </w:style>
  <w:style w:type="paragraph" w:customStyle="1" w:styleId="9E2694583153424CB11D968AAD21CC75">
    <w:name w:val="9E2694583153424CB11D968AAD21CC75"/>
    <w:rsid w:val="009C032D"/>
    <w:pPr>
      <w:spacing w:line="278" w:lineRule="auto"/>
    </w:pPr>
    <w:rPr>
      <w:kern w:val="2"/>
      <w:sz w:val="24"/>
      <w:szCs w:val="24"/>
      <w:lang w:val="fr-BE" w:eastAsia="fr-BE"/>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6312EF85-87DB-4AA9-BA04-312EEEA23948}"/>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purl.org/dc/terms/"/>
    <ds:schemaRef ds:uri="08927195-b699-4be0-9ee2-6c66dc215b5a"/>
    <ds:schemaRef ds:uri="http://www.w3.org/XML/1998/namespace"/>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a41a97bf-0494-41d8-ba3d-259bd7771890"/>
    <ds:schemaRef ds:uri="http://schemas.microsoft.com/sharepoint/v3/fields"/>
    <ds:schemaRef ds:uri="1929b814-5a78-4bdc-9841-d8b9ef424f65"/>
    <ds:schemaRef ds:uri="http://schemas.microsoft.com/office/2006/metadata/properties"/>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1635</Words>
  <Characters>9321</Characters>
  <Application>Microsoft Office Word</Application>
  <DocSecurity>0</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2025-03-06T10:48:00Z</dcterms:created>
  <dcterms:modified xsi:type="dcterms:W3CDTF">2025-03-13T17:25:00Z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