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F5F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F5F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F5F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F5F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F5F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F5F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ECA001" w:rsidR="00377580" w:rsidRPr="00080A71" w:rsidRDefault="0043264C" w:rsidP="005F6927">
                <w:pPr>
                  <w:tabs>
                    <w:tab w:val="left" w:pos="426"/>
                  </w:tabs>
                  <w:rPr>
                    <w:bCs/>
                    <w:lang w:val="en-IE" w:eastAsia="en-GB"/>
                  </w:rPr>
                </w:pPr>
                <w:r w:rsidRPr="0043264C">
                  <w:rPr>
                    <w:bCs/>
                    <w:lang w:val="fr-BE" w:eastAsia="en-GB"/>
                  </w:rPr>
                  <w:t>CNECT – Société numérique, confiance et cybersécurité – Unité H.4</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1BECBD33" w:rsidR="00377580" w:rsidRPr="00080A71" w:rsidRDefault="0043264C" w:rsidP="005F6927">
                <w:pPr>
                  <w:tabs>
                    <w:tab w:val="left" w:pos="426"/>
                  </w:tabs>
                  <w:rPr>
                    <w:bCs/>
                    <w:lang w:val="en-IE" w:eastAsia="en-GB"/>
                  </w:rPr>
                </w:pPr>
                <w:r>
                  <w:rPr>
                    <w:bCs/>
                    <w:lang w:val="fr-BE" w:eastAsia="en-GB"/>
                  </w:rPr>
                  <w:t>387297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8654034"/>
                  <w:placeholder>
                    <w:docPart w:val="90C594642EF047158DE5B2ADF000506F"/>
                  </w:placeholder>
                </w:sdtPr>
                <w:sdtEndPr/>
                <w:sdtContent>
                  <w:p w14:paraId="12130700" w14:textId="77777777" w:rsidR="0043264C" w:rsidRPr="0007110E" w:rsidRDefault="0043264C" w:rsidP="0043264C">
                    <w:pPr>
                      <w:tabs>
                        <w:tab w:val="left" w:pos="426"/>
                      </w:tabs>
                      <w:spacing w:before="120"/>
                      <w:rPr>
                        <w:bCs/>
                        <w:lang w:val="en-IE" w:eastAsia="en-GB"/>
                      </w:rPr>
                    </w:pPr>
                    <w:r>
                      <w:rPr>
                        <w:bCs/>
                        <w:lang w:val="en-IE" w:eastAsia="en-GB"/>
                      </w:rPr>
                      <w:t>Norbert SAGSTETTER</w:t>
                    </w:r>
                  </w:p>
                </w:sdtContent>
              </w:sdt>
              <w:p w14:paraId="369CA7C8" w14:textId="7F0043EE" w:rsidR="00377580" w:rsidRPr="00080A71" w:rsidRDefault="001F5F4A" w:rsidP="005F6927">
                <w:pPr>
                  <w:tabs>
                    <w:tab w:val="left" w:pos="426"/>
                  </w:tabs>
                  <w:rPr>
                    <w:bCs/>
                    <w:lang w:val="en-IE" w:eastAsia="en-GB"/>
                  </w:rPr>
                </w:pPr>
              </w:p>
            </w:sdtContent>
          </w:sdt>
          <w:p w14:paraId="32DD8032" w14:textId="08D3B904" w:rsidR="00377580" w:rsidRPr="001D3EEC" w:rsidRDefault="001F5F4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3264C">
                      <w:rPr>
                        <w:bCs/>
                        <w:lang w:val="en-IE" w:eastAsia="en-GB"/>
                      </w:rPr>
                      <w:t>2025</w:t>
                    </w:r>
                  </w:sdtContent>
                </w:sdt>
              </w:sdtContent>
            </w:sdt>
            <w:r w:rsidR="00377580" w:rsidRPr="001D3EEC">
              <w:rPr>
                <w:bCs/>
                <w:lang w:val="fr-BE" w:eastAsia="en-GB"/>
              </w:rPr>
              <w:t xml:space="preserve"> </w:t>
            </w:r>
          </w:p>
          <w:p w14:paraId="768BBE26" w14:textId="75FACA08" w:rsidR="00377580" w:rsidRPr="001D3EEC" w:rsidRDefault="001F5F4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3264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43264C">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724B78"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6AC9E46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0C2F51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F5F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F5F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F5F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F06AD5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00A80C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4E981AF"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5615B4">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D8CB7D" w14:textId="4F0104CB" w:rsidR="0043264C" w:rsidRPr="0043264C" w:rsidRDefault="00EE6D7B" w:rsidP="0043264C">
          <w:pPr>
            <w:rPr>
              <w:lang w:val="fr-BE" w:eastAsia="en-GB"/>
            </w:rPr>
          </w:pPr>
          <w:r>
            <w:rPr>
              <w:lang w:val="fr-BE" w:eastAsia="en-GB"/>
            </w:rPr>
            <w:t>L</w:t>
          </w:r>
          <w:r w:rsidR="0043264C" w:rsidRPr="0043264C">
            <w:rPr>
              <w:lang w:val="fr-BE" w:eastAsia="en-GB"/>
            </w:rPr>
            <w:t xml:space="preserve">'unité CNECT.H.4 « eGovernment and Trust » dirige l'élaboration des politiques pour un dossier au cœur des priorités politiques de la Commission : la mise en œuvre de l'environnement réglementaire et de l'architecture technique d'une identité numérique européenne basée sur le règlement eIDAS (UE 910/2014, 2024/1183). La mission de </w:t>
          </w:r>
          <w:r w:rsidR="0043264C" w:rsidRPr="0043264C">
            <w:rPr>
              <w:lang w:val="fr-BE" w:eastAsia="en-GB"/>
            </w:rPr>
            <w:lastRenderedPageBreak/>
            <w:t>l'unité comprend la coordination et la facilitation de la mise en œuvre politique, juridique et technique d'une identité numérique européenne en étroite coopération avec les États membres et les acteurs du secteur privé. Les tâches de l'unité comprennent une coordination étroite avec les parties prenantes publiques et privées dans toute l'UE et dans les pays tiers, une sensibilisation internationale et le travail avec divers acteurs au sein de la Commission, d'autres institutions de l'UE, des entreprises et des administrations. La mise en œuvre du cadre européen d'identité numérique aidera les États membres à atteindre l'objectif de la décennie numérique selon lequel tous les citoyens de l'UE devraient avoir accès à une identité numérique sécurisée et respectueuse de la vie privée qui peut être utilisée dans toute l'Union d'ici 2030.</w:t>
          </w:r>
        </w:p>
        <w:p w14:paraId="6103585E" w14:textId="77777777" w:rsidR="0043264C" w:rsidRPr="0043264C" w:rsidRDefault="0043264C" w:rsidP="0043264C">
          <w:pPr>
            <w:rPr>
              <w:lang w:val="fr-BE" w:eastAsia="en-GB"/>
            </w:rPr>
          </w:pPr>
          <w:r w:rsidRPr="0043264C">
            <w:rPr>
              <w:lang w:val="fr-BE" w:eastAsia="en-GB"/>
            </w:rPr>
            <w:t>L'unité fait partie de la direction CNECT.H « Société numérique, confiance et cybersécurité » qui est responsable de la politique de cybersécurité de l'UE.</w:t>
          </w:r>
        </w:p>
        <w:p w14:paraId="586205CF" w14:textId="77777777" w:rsidR="0043264C" w:rsidRPr="0043264C" w:rsidRDefault="0043264C" w:rsidP="0043264C">
          <w:pPr>
            <w:rPr>
              <w:lang w:val="fr-BE" w:eastAsia="en-GB"/>
            </w:rPr>
          </w:pPr>
          <w:r w:rsidRPr="0043264C">
            <w:rPr>
              <w:lang w:val="fr-BE" w:eastAsia="en-GB"/>
            </w:rPr>
            <w:t>Les tâches de l'unité pour 2025 comprennent :</w:t>
          </w:r>
        </w:p>
        <w:p w14:paraId="4385B31C" w14:textId="77777777" w:rsidR="0043264C" w:rsidRPr="0043264C" w:rsidRDefault="0043264C" w:rsidP="0043264C">
          <w:pPr>
            <w:rPr>
              <w:lang w:val="fr-BE" w:eastAsia="en-GB"/>
            </w:rPr>
          </w:pPr>
          <w:r w:rsidRPr="0043264C">
            <w:rPr>
              <w:lang w:val="fr-BE" w:eastAsia="en-GB"/>
            </w:rPr>
            <w:t>• Soutenir la mise en œuvre du nouveau règlement-cadre pour une identité numérique européenne ;</w:t>
          </w:r>
        </w:p>
        <w:p w14:paraId="7B351C00" w14:textId="77777777" w:rsidR="0043264C" w:rsidRPr="0043264C" w:rsidRDefault="0043264C" w:rsidP="0043264C">
          <w:pPr>
            <w:rPr>
              <w:lang w:val="fr-BE" w:eastAsia="en-GB"/>
            </w:rPr>
          </w:pPr>
          <w:r w:rsidRPr="0043264C">
            <w:rPr>
              <w:lang w:val="fr-BE" w:eastAsia="en-GB"/>
            </w:rPr>
            <w:t>• Assurer une transition en douceur vers le nouveau cadre, y compris la mise en place d'un nouveau système de gouvernance pour les portefeuilles d'identité numérique européens, les systèmes nationaux d'identification électronique et le cadre des services de confiance ;</w:t>
          </w:r>
        </w:p>
        <w:p w14:paraId="3F801C3E" w14:textId="77777777" w:rsidR="0043264C" w:rsidRPr="0043264C" w:rsidRDefault="0043264C" w:rsidP="0043264C">
          <w:pPr>
            <w:rPr>
              <w:lang w:val="fr-BE" w:eastAsia="en-GB"/>
            </w:rPr>
          </w:pPr>
          <w:r w:rsidRPr="0043264C">
            <w:rPr>
              <w:lang w:val="fr-BE" w:eastAsia="en-GB"/>
            </w:rPr>
            <w:t>• Finaliser la législation de mise en œuvre ;</w:t>
          </w:r>
        </w:p>
        <w:p w14:paraId="30C85443" w14:textId="77777777" w:rsidR="0043264C" w:rsidRPr="0043264C" w:rsidRDefault="0043264C" w:rsidP="0043264C">
          <w:pPr>
            <w:rPr>
              <w:lang w:val="fr-BE" w:eastAsia="en-GB"/>
            </w:rPr>
          </w:pPr>
          <w:r w:rsidRPr="0043264C">
            <w:rPr>
              <w:lang w:val="fr-BE" w:eastAsia="en-GB"/>
            </w:rPr>
            <w:t>• Finaliser l'architecture technique et le cadre de référence pour les portefeuilles d'identité numérique européens (« boîte à outils ») en cours d'élaboration en étroite coopération avec un groupe d'experts des États membres ;</w:t>
          </w:r>
        </w:p>
        <w:p w14:paraId="10554ABC" w14:textId="77777777" w:rsidR="0043264C" w:rsidRPr="0043264C" w:rsidRDefault="0043264C" w:rsidP="0043264C">
          <w:pPr>
            <w:rPr>
              <w:lang w:val="fr-BE" w:eastAsia="en-GB"/>
            </w:rPr>
          </w:pPr>
          <w:r w:rsidRPr="0043264C">
            <w:rPr>
              <w:lang w:val="fr-BE" w:eastAsia="en-GB"/>
            </w:rPr>
            <w:t>• Superviser la mise en œuvre de projets pilotes à grande échelle dans des domaines tels que : la santé électronique, le permis de conduire numérique, l'échange de diplômes, etc., en coopération avec d'autres DG ;</w:t>
          </w:r>
        </w:p>
        <w:p w14:paraId="3320D135" w14:textId="77777777" w:rsidR="0043264C" w:rsidRPr="0043264C" w:rsidRDefault="0043264C" w:rsidP="0043264C">
          <w:pPr>
            <w:rPr>
              <w:lang w:val="fr-BE" w:eastAsia="en-GB"/>
            </w:rPr>
          </w:pPr>
          <w:r w:rsidRPr="0043264C">
            <w:rPr>
              <w:lang w:val="fr-BE" w:eastAsia="en-GB"/>
            </w:rPr>
            <w:t>• Élaborer un système de certification pour les portefeuilles d'identité numérique européens ;</w:t>
          </w:r>
        </w:p>
        <w:p w14:paraId="0D06BFF7" w14:textId="77777777" w:rsidR="0043264C" w:rsidRPr="0043264C" w:rsidRDefault="0043264C" w:rsidP="0043264C">
          <w:pPr>
            <w:rPr>
              <w:lang w:val="fr-BE" w:eastAsia="en-GB"/>
            </w:rPr>
          </w:pPr>
          <w:r w:rsidRPr="0043264C">
            <w:rPr>
              <w:lang w:val="fr-BE" w:eastAsia="en-GB"/>
            </w:rPr>
            <w:t>• Gérer la sensibilisation internationale et la reconnaissance mutuelle des cadres d'identité numérique et de services de confiance avec les pays tiers (y compris les pays candidats, les États-Unis, le Canada, l'Inde, le Japon et Singapour) ;</w:t>
          </w:r>
        </w:p>
        <w:p w14:paraId="56FF14CF" w14:textId="77777777" w:rsidR="0043264C" w:rsidRPr="0043264C" w:rsidRDefault="0043264C" w:rsidP="0043264C">
          <w:pPr>
            <w:rPr>
              <w:lang w:val="fr-BE" w:eastAsia="en-GB"/>
            </w:rPr>
          </w:pPr>
          <w:r w:rsidRPr="0043264C">
            <w:rPr>
              <w:lang w:val="fr-BE" w:eastAsia="en-GB"/>
            </w:rPr>
            <w:t>• Mettre en œuvre le règlement eIDAS (UE 910/2014, 2024/1183) pour les services d'identification électronique et de confiance.</w:t>
          </w:r>
        </w:p>
        <w:p w14:paraId="12CE3E3E" w14:textId="77777777" w:rsidR="0043264C" w:rsidRPr="0043264C" w:rsidRDefault="0043264C" w:rsidP="0043264C">
          <w:pPr>
            <w:rPr>
              <w:lang w:val="fr-BE" w:eastAsia="en-GB"/>
            </w:rPr>
          </w:pPr>
        </w:p>
        <w:p w14:paraId="0D36795D" w14:textId="77777777" w:rsidR="0043264C" w:rsidRPr="0043264C" w:rsidRDefault="0043264C" w:rsidP="0043264C">
          <w:pPr>
            <w:rPr>
              <w:lang w:val="fr-BE" w:eastAsia="en-GB"/>
            </w:rPr>
          </w:pPr>
          <w:r w:rsidRPr="0043264C">
            <w:rPr>
              <w:lang w:val="fr-BE" w:eastAsia="en-GB"/>
            </w:rPr>
            <w:t>Nous menons ces dossiers en étroite collaboration avec d'autres services de la Commission au sein de la DG CNECT, de la DG DIGIT, de la DG SANTE, de la DG GROW, de la DG JUST, de la DG TRADE et des agences de l'UE, telles que l'ENISA. Nous travaillons en étroite collaboration avec les États membres et un large éventail d'acteurs des secteurs public et privé.</w:t>
          </w:r>
        </w:p>
        <w:p w14:paraId="7DDA9808" w14:textId="77777777" w:rsidR="0043264C" w:rsidRPr="0043264C" w:rsidRDefault="0043264C" w:rsidP="0043264C">
          <w:pPr>
            <w:rPr>
              <w:lang w:val="fr-BE" w:eastAsia="en-GB"/>
            </w:rPr>
          </w:pPr>
        </w:p>
        <w:p w14:paraId="18140A21" w14:textId="46077466" w:rsidR="001A0074" w:rsidRPr="00080A71" w:rsidRDefault="0043264C" w:rsidP="0043264C">
          <w:pPr>
            <w:rPr>
              <w:lang w:val="en-IE" w:eastAsia="en-GB"/>
            </w:rPr>
          </w:pPr>
          <w:r w:rsidRPr="0043264C">
            <w:rPr>
              <w:lang w:val="fr-BE" w:eastAsia="en-GB"/>
            </w:rPr>
            <w:lastRenderedPageBreak/>
            <w:t>De plus amples informations sur nos activités sont disponibles sur : Identité numérique européenne | Commission européenne (europa.eu) et https://digital-strategy.ec.europa.eu/en/policies/eidas-regulation</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60A27FD9" w:rsidR="001A0074" w:rsidRPr="00080A71" w:rsidRDefault="001F5F4A" w:rsidP="001A0074">
      <w:pPr>
        <w:rPr>
          <w:lang w:val="en-IE" w:eastAsia="en-GB"/>
        </w:rPr>
      </w:pPr>
      <w:sdt>
        <w:sdtPr>
          <w:rPr>
            <w:lang w:val="fr-BE" w:eastAsia="en-GB"/>
          </w:rPr>
          <w:id w:val="-723136291"/>
          <w:placeholder>
            <w:docPart w:val="43375E7FB7294216B3B48CC222A08C2F"/>
          </w:placeholder>
        </w:sdtPr>
        <w:sdtEndPr/>
        <w:sdtContent>
          <w:r w:rsidR="0043264C" w:rsidRPr="0043264C">
            <w:rPr>
              <w:lang w:val="fr-BE" w:eastAsia="en-GB"/>
            </w:rPr>
            <w:t>Nous recherchons un responsable des politiques qui apporterait un soutien direct au directeur technique de l'unité H4 du CNECT dans la conduite de la vision technique et la mise en œuvre de l'écosystème européen du portefeuille d'identité numérique. Ce rôle comprend la contribution à la planification, à l'exécution et à la livraison de projets technologiques complexes tout en agissant en tant que mandataire du directeur technique en cas de besoin. En faisant le lien entre les équipes d'ingénierie et les parties prenantes institutionnelles, le rôle garantit que les projets sont livrés à temps, dans le cadre du périmètre. Les responsabilités comprennent la contribution à la gestion des ressources techniques et la coordination des activités et des tâches, tout en identifiant et en atténuant de manière proactive les risques tout au long de l'initiative du portefeuille d'identité numérique.</w:t>
          </w:r>
        </w:sdtContent>
      </w:sdt>
    </w:p>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064D95D" w14:textId="77777777" w:rsidR="0043264C" w:rsidRPr="0043264C" w:rsidRDefault="0043264C" w:rsidP="0043264C">
          <w:pPr>
            <w:pStyle w:val="ListNumber"/>
            <w:numPr>
              <w:ilvl w:val="0"/>
              <w:numId w:val="0"/>
            </w:numPr>
            <w:ind w:left="709" w:hanging="709"/>
            <w:rPr>
              <w:b/>
              <w:bCs/>
              <w:lang w:val="fr-BE" w:eastAsia="en-GB"/>
            </w:rPr>
          </w:pPr>
          <w:r w:rsidRPr="0043264C">
            <w:rPr>
              <w:b/>
              <w:bCs/>
              <w:lang w:val="fr-BE" w:eastAsia="en-GB"/>
            </w:rPr>
            <w:t>Principales responsabilités :</w:t>
          </w:r>
        </w:p>
        <w:p w14:paraId="47F3AFB5"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Gestion de projet</w:t>
          </w:r>
          <w:r w:rsidRPr="0043264C">
            <w:rPr>
              <w:lang w:val="fr-BE" w:eastAsia="en-GB"/>
            </w:rPr>
            <w:t> : Élaborer et superviser les plans de projet, les échéanciers, l'allocation des ressources et la livraison globale du projet.</w:t>
          </w:r>
        </w:p>
        <w:p w14:paraId="6AA8944F"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Engagement des parties prenantes</w:t>
          </w:r>
          <w:r w:rsidRPr="0043264C">
            <w:rPr>
              <w:lang w:val="fr-BE" w:eastAsia="en-GB"/>
            </w:rPr>
            <w:t> : Établir et entretenir des relations solides avec les principaux intervenants techniques et politiques.</w:t>
          </w:r>
        </w:p>
        <w:p w14:paraId="604E8792"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Soutien d'équipe</w:t>
          </w:r>
          <w:r w:rsidRPr="0043264C">
            <w:rPr>
              <w:lang w:val="fr-BE" w:eastAsia="en-GB"/>
            </w:rPr>
            <w:t> : Soutenir une équipe multidisciplinaire et multiculturelle, en favorisant la collaboration et la productivité.</w:t>
          </w:r>
        </w:p>
        <w:p w14:paraId="3FB3C2F5"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Coordination interfonctionnelle </w:t>
          </w:r>
          <w:r w:rsidRPr="0043264C">
            <w:rPr>
              <w:lang w:val="fr-BE" w:eastAsia="en-GB"/>
            </w:rPr>
            <w:t>: Guider les équipes interfonctionnelles, notamment les ingénieurs, les concepteurs et les analystes, pour aligner les objectifs du projet.</w:t>
          </w:r>
        </w:p>
        <w:p w14:paraId="6E4AFF74"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Suivi de l'avancement</w:t>
          </w:r>
          <w:r w:rsidRPr="0043264C">
            <w:rPr>
              <w:lang w:val="fr-BE" w:eastAsia="en-GB"/>
            </w:rPr>
            <w:t> : Surveiller en permanence les jalons du projet, en veillant au respect des objectifs et des délais.</w:t>
          </w:r>
        </w:p>
        <w:p w14:paraId="4E36E5CC"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Gestion des risques</w:t>
          </w:r>
          <w:r w:rsidRPr="0043264C">
            <w:rPr>
              <w:lang w:val="fr-BE" w:eastAsia="en-GB"/>
            </w:rPr>
            <w:t> : Identifier, traiter et atténuer les risques et problèmes potentiels pour éviter les retards du projet.</w:t>
          </w:r>
        </w:p>
        <w:p w14:paraId="2B1AA93D" w14:textId="77777777" w:rsidR="0043264C" w:rsidRPr="0043264C" w:rsidRDefault="0043264C" w:rsidP="0043264C">
          <w:pPr>
            <w:pStyle w:val="ListNumber"/>
            <w:numPr>
              <w:ilvl w:val="0"/>
              <w:numId w:val="0"/>
            </w:numPr>
            <w:ind w:left="709" w:hanging="709"/>
            <w:rPr>
              <w:b/>
              <w:bCs/>
              <w:lang w:val="fr-BE" w:eastAsia="en-GB"/>
            </w:rPr>
          </w:pPr>
          <w:r w:rsidRPr="0043264C">
            <w:rPr>
              <w:b/>
              <w:bCs/>
              <w:lang w:val="fr-BE" w:eastAsia="en-GB"/>
            </w:rPr>
            <w:t>Qualifications :</w:t>
          </w:r>
        </w:p>
        <w:p w14:paraId="38DB52BE"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Expertise technique</w:t>
          </w:r>
          <w:r w:rsidRPr="0043264C">
            <w:rPr>
              <w:lang w:val="fr-BE" w:eastAsia="en-GB"/>
            </w:rPr>
            <w:t> : Connaissance approfondie du développement de logiciels, des technologies cloud et de l'architecture système, associée à une réussite démontrée dans la gestion de projets informatiques complexes et à une expérience pratique des méthodologies Agile/Scrum.</w:t>
          </w:r>
        </w:p>
        <w:p w14:paraId="510204BC" w14:textId="77777777" w:rsidR="0043264C" w:rsidRPr="0043264C" w:rsidRDefault="0043264C" w:rsidP="0043264C">
          <w:pPr>
            <w:pStyle w:val="ListNumber"/>
            <w:numPr>
              <w:ilvl w:val="0"/>
              <w:numId w:val="0"/>
            </w:numPr>
            <w:ind w:left="709"/>
            <w:rPr>
              <w:lang w:val="fr-BE" w:eastAsia="en-GB"/>
            </w:rPr>
          </w:pPr>
          <w:r w:rsidRPr="0043264C">
            <w:rPr>
              <w:lang w:val="fr-BE" w:eastAsia="en-GB"/>
            </w:rPr>
            <w:lastRenderedPageBreak/>
            <w:t xml:space="preserve">• </w:t>
          </w:r>
          <w:r w:rsidRPr="0043264C">
            <w:rPr>
              <w:b/>
              <w:bCs/>
              <w:lang w:val="fr-BE" w:eastAsia="en-GB"/>
            </w:rPr>
            <w:t>Spécialisation en identité numérique</w:t>
          </w:r>
          <w:r w:rsidRPr="0043264C">
            <w:rPr>
              <w:lang w:val="fr-BE" w:eastAsia="en-GB"/>
            </w:rPr>
            <w:t> : Maîtrise de l'authentification numérique, des systèmes d'identification et des normes de protection des données, avec une connaissance des normes et spécifications du secteur.</w:t>
          </w:r>
        </w:p>
        <w:p w14:paraId="557C8599" w14:textId="77777777" w:rsidR="0043264C" w:rsidRPr="0043264C" w:rsidRDefault="0043264C" w:rsidP="0043264C">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Communication et leadership</w:t>
          </w:r>
          <w:r w:rsidRPr="0043264C">
            <w:rPr>
              <w:lang w:val="fr-BE" w:eastAsia="en-GB"/>
            </w:rPr>
            <w:t> : Excellentes compétences en communication, en organisation et en leadership avec la capacité de travailler en synergie et efficacement au sein des équipes.</w:t>
          </w:r>
        </w:p>
        <w:p w14:paraId="251E2E9A" w14:textId="77777777" w:rsidR="0043264C" w:rsidRPr="0043264C" w:rsidRDefault="0043264C" w:rsidP="0043264C">
          <w:pPr>
            <w:pStyle w:val="ListNumber"/>
            <w:numPr>
              <w:ilvl w:val="0"/>
              <w:numId w:val="0"/>
            </w:numPr>
            <w:ind w:left="709" w:hanging="709"/>
            <w:rPr>
              <w:b/>
              <w:bCs/>
              <w:lang w:val="fr-BE" w:eastAsia="en-GB"/>
            </w:rPr>
          </w:pPr>
          <w:r w:rsidRPr="0043264C">
            <w:rPr>
              <w:b/>
              <w:bCs/>
              <w:lang w:val="fr-BE" w:eastAsia="en-GB"/>
            </w:rPr>
            <w:t>Compétences privilégiées :</w:t>
          </w:r>
        </w:p>
        <w:p w14:paraId="39C412E9" w14:textId="77777777" w:rsidR="001F3592" w:rsidRDefault="0043264C" w:rsidP="001F3592">
          <w:pPr>
            <w:pStyle w:val="ListNumber"/>
            <w:numPr>
              <w:ilvl w:val="0"/>
              <w:numId w:val="0"/>
            </w:numPr>
            <w:ind w:left="709"/>
            <w:rPr>
              <w:lang w:val="fr-BE" w:eastAsia="en-GB"/>
            </w:rPr>
          </w:pPr>
          <w:r w:rsidRPr="0043264C">
            <w:rPr>
              <w:lang w:val="fr-BE" w:eastAsia="en-GB"/>
            </w:rPr>
            <w:t xml:space="preserve">• </w:t>
          </w:r>
          <w:r w:rsidRPr="0043264C">
            <w:rPr>
              <w:b/>
              <w:bCs/>
              <w:lang w:val="fr-BE" w:eastAsia="en-GB"/>
            </w:rPr>
            <w:t>Outils de gestion de projet</w:t>
          </w:r>
          <w:r w:rsidRPr="0043264C">
            <w:rPr>
              <w:lang w:val="fr-BE" w:eastAsia="en-GB"/>
            </w:rPr>
            <w:t> : maîtrise d'outils tels que Jira, Trello ou MS Project.</w:t>
          </w:r>
        </w:p>
        <w:p w14:paraId="7E409EA7" w14:textId="32106373" w:rsidR="001A0074" w:rsidRPr="001F3592" w:rsidRDefault="0043264C" w:rsidP="001F3592">
          <w:pPr>
            <w:pStyle w:val="ListNumber"/>
            <w:numPr>
              <w:ilvl w:val="0"/>
              <w:numId w:val="27"/>
            </w:numPr>
            <w:ind w:left="851" w:hanging="142"/>
            <w:rPr>
              <w:lang w:val="fr-BE" w:eastAsia="en-GB"/>
            </w:rPr>
          </w:pPr>
          <w:r w:rsidRPr="0043264C">
            <w:rPr>
              <w:b/>
              <w:bCs/>
              <w:lang w:val="fr-BE" w:eastAsia="en-GB"/>
            </w:rPr>
            <w:t>Contexte technique :</w:t>
          </w:r>
          <w:r w:rsidRPr="0043264C">
            <w:rPr>
              <w:lang w:val="fr-BE" w:eastAsia="en-GB"/>
            </w:rPr>
            <w:t xml:space="preserve"> formation formelle ou expérience pratique en informatique ou en développement de logiciels.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FD5BAE"/>
    <w:multiLevelType w:val="hybridMultilevel"/>
    <w:tmpl w:val="43CAF1BA"/>
    <w:lvl w:ilvl="0" w:tplc="8F7E6D3E">
      <w:start w:val="1"/>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FF1A27"/>
    <w:multiLevelType w:val="hybridMultilevel"/>
    <w:tmpl w:val="17B01C46"/>
    <w:lvl w:ilvl="0" w:tplc="8F7E6D3E">
      <w:start w:val="1"/>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412970324">
    <w:abstractNumId w:val="7"/>
  </w:num>
  <w:num w:numId="27" w16cid:durableId="3753570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F3592"/>
    <w:rsid w:val="001F5F4A"/>
    <w:rsid w:val="00215A56"/>
    <w:rsid w:val="0028413D"/>
    <w:rsid w:val="002841B7"/>
    <w:rsid w:val="002A6E30"/>
    <w:rsid w:val="002B37EB"/>
    <w:rsid w:val="00301CA3"/>
    <w:rsid w:val="00377580"/>
    <w:rsid w:val="00394581"/>
    <w:rsid w:val="0043264C"/>
    <w:rsid w:val="00443957"/>
    <w:rsid w:val="00462268"/>
    <w:rsid w:val="004A4BB7"/>
    <w:rsid w:val="004D3B51"/>
    <w:rsid w:val="0053405E"/>
    <w:rsid w:val="00556CBD"/>
    <w:rsid w:val="005615B4"/>
    <w:rsid w:val="006A1CB2"/>
    <w:rsid w:val="006B47B6"/>
    <w:rsid w:val="006F23BA"/>
    <w:rsid w:val="00724B78"/>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8477A"/>
    <w:rsid w:val="00DC5C83"/>
    <w:rsid w:val="00E0579E"/>
    <w:rsid w:val="00E5708E"/>
    <w:rsid w:val="00E850B7"/>
    <w:rsid w:val="00E927FE"/>
    <w:rsid w:val="00EB00FD"/>
    <w:rsid w:val="00EE6D7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0C594642EF047158DE5B2ADF000506F"/>
        <w:category>
          <w:name w:val="General"/>
          <w:gallery w:val="placeholder"/>
        </w:category>
        <w:types>
          <w:type w:val="bbPlcHdr"/>
        </w:types>
        <w:behaviors>
          <w:behavior w:val="content"/>
        </w:behaviors>
        <w:guid w:val="{984ECBA8-09E7-4C2D-8ABF-C839B7F9B109}"/>
      </w:docPartPr>
      <w:docPartBody>
        <w:p w:rsidR="009E4D23" w:rsidRDefault="009E4D23" w:rsidP="009E4D23">
          <w:pPr>
            <w:pStyle w:val="90C594642EF047158DE5B2ADF000506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14C1A"/>
    <w:multiLevelType w:val="multilevel"/>
    <w:tmpl w:val="85ACA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4860519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9E4D2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E4D23"/>
    <w:rPr>
      <w:color w:val="288061"/>
    </w:rPr>
  </w:style>
  <w:style w:type="paragraph" w:customStyle="1" w:styleId="90C594642EF047158DE5B2ADF000506F">
    <w:name w:val="90C594642EF047158DE5B2ADF000506F"/>
    <w:rsid w:val="009E4D23"/>
    <w:rPr>
      <w:kern w:val="2"/>
      <w:lang w:val="en-150" w:eastAsia="en-150"/>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B52E13E-F1EF-46C9-9F7F-ABC6E73B8A4C}"/>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54</TotalTime>
  <Pages>5</Pages>
  <Words>1631</Words>
  <Characters>9628</Characters>
  <Application>Microsoft Office Word</Application>
  <DocSecurity>0</DocSecurity>
  <PresentationFormat>Microsoft Word 14.0</PresentationFormat>
  <Lines>481</Lines>
  <Paragraphs>216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ZEKOVIC Goran (CNECT)</cp:lastModifiedBy>
  <cp:revision>7</cp:revision>
  <cp:lastPrinted>2023-04-18T07:01:00Z</cp:lastPrinted>
  <dcterms:created xsi:type="dcterms:W3CDTF">2024-12-10T15:16:00Z</dcterms:created>
  <dcterms:modified xsi:type="dcterms:W3CDTF">2024-12-10T16:54:00Z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