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30A3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30A3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30A3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30A3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30A3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30A3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tc>
          <w:tcPr>
            <w:tcW w:w="5491" w:type="dxa"/>
          </w:tcPr>
          <w:p w14:paraId="2AA4F572" w14:textId="08220E03" w:rsidR="00377580" w:rsidRPr="00080A71" w:rsidRDefault="003C417C" w:rsidP="005F6927">
            <w:pPr>
              <w:tabs>
                <w:tab w:val="left" w:pos="426"/>
              </w:tabs>
              <w:rPr>
                <w:bCs/>
                <w:lang w:val="en-IE" w:eastAsia="en-GB"/>
              </w:rPr>
            </w:pPr>
            <w:r w:rsidRPr="00C203C4">
              <w:rPr>
                <w:b/>
                <w:szCs w:val="24"/>
                <w:lang w:eastAsia="en-GB"/>
              </w:rPr>
              <w:t>INTPA.F.3.DEL.Rome</w:t>
            </w:r>
          </w:p>
        </w:tc>
      </w:tr>
      <w:tr w:rsidR="00377580" w:rsidRPr="003C417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661C9EF" w:rsidR="00377580" w:rsidRPr="00080A71" w:rsidRDefault="003C417C" w:rsidP="005F6927">
                <w:pPr>
                  <w:tabs>
                    <w:tab w:val="left" w:pos="426"/>
                  </w:tabs>
                  <w:rPr>
                    <w:bCs/>
                    <w:lang w:val="en-IE" w:eastAsia="en-GB"/>
                  </w:rPr>
                </w:pPr>
                <w:r w:rsidRPr="003C417C">
                  <w:rPr>
                    <w:bCs/>
                    <w:lang w:val="fr-BE" w:eastAsia="en-GB"/>
                  </w:rPr>
                  <w:t>301346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30E1FE0" w:rsidR="00377580" w:rsidRPr="003C417C" w:rsidRDefault="009025FA" w:rsidP="005F6927">
                <w:pPr>
                  <w:tabs>
                    <w:tab w:val="left" w:pos="426"/>
                  </w:tabs>
                  <w:rPr>
                    <w:bCs/>
                    <w:lang w:val="fr-BE" w:eastAsia="en-GB"/>
                  </w:rPr>
                </w:pPr>
                <w:r>
                  <w:rPr>
                    <w:bCs/>
                    <w:lang w:val="fr-BE" w:eastAsia="en-GB"/>
                  </w:rPr>
                  <w:t>Leonard MIZZI</w:t>
                </w:r>
              </w:p>
            </w:sdtContent>
          </w:sdt>
          <w:p w14:paraId="32DD8032" w14:textId="093115BC" w:rsidR="00377580" w:rsidRPr="001D3EEC" w:rsidRDefault="00E30A3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C417C">
                  <w:rPr>
                    <w:bCs/>
                    <w:lang w:val="fr-BE" w:eastAsia="en-GB"/>
                  </w:rPr>
                  <w:t>1</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C417C">
                      <w:rPr>
                        <w:bCs/>
                        <w:lang w:val="fr-BE" w:eastAsia="en-GB"/>
                      </w:rPr>
                      <w:t>2025</w:t>
                    </w:r>
                  </w:sdtContent>
                </w:sdt>
              </w:sdtContent>
            </w:sdt>
            <w:r w:rsidR="00377580" w:rsidRPr="001D3EEC">
              <w:rPr>
                <w:bCs/>
                <w:lang w:val="fr-BE" w:eastAsia="en-GB"/>
              </w:rPr>
              <w:t xml:space="preserve"> </w:t>
            </w:r>
          </w:p>
          <w:p w14:paraId="768BBE26" w14:textId="3B1B7935" w:rsidR="00377580" w:rsidRPr="001D3EEC" w:rsidRDefault="00E30A3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025F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C417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3C417C">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3C417C">
                  <w:rPr>
                    <w:bCs/>
                    <w:szCs w:val="24"/>
                    <w:lang w:val="fr-BE" w:eastAsia="en-GB"/>
                  </w:rPr>
                  <w:t>Rome</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113AAA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313537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30A3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30A3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30A3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43F123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34A7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578DE1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6211C60"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E30A32">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bookmarkStart w:id="0" w:name="_Hlk178174922" w:displacedByCustomXml="next"/>
    <w:sdt>
      <w:sdtPr>
        <w:rPr>
          <w:lang w:val="fr-BE" w:eastAsia="en-GB"/>
        </w:rPr>
        <w:id w:val="1822233941"/>
        <w:placeholder>
          <w:docPart w:val="502342290B3541ABA4032C2AA949ADE4"/>
        </w:placeholder>
      </w:sdtPr>
      <w:sdtEndPr/>
      <w:sdtContent>
        <w:p w14:paraId="30B422AA" w14:textId="533CF39B" w:rsidR="00301CA3" w:rsidRPr="00D343A5" w:rsidRDefault="00D343A5" w:rsidP="00D343A5">
          <w:pPr>
            <w:pStyle w:val="Padro"/>
            <w:spacing w:after="240" w:line="280" w:lineRule="atLeast"/>
            <w:jc w:val="both"/>
            <w:rPr>
              <w:rFonts w:ascii="Times New Roman" w:eastAsia="Times New Roman" w:hAnsi="Times New Roman" w:cs="Times New Roman"/>
              <w:sz w:val="24"/>
              <w:szCs w:val="24"/>
              <w:lang w:val="fr-FR"/>
            </w:rPr>
          </w:pPr>
          <w:r w:rsidRPr="00627049">
            <w:rPr>
              <w:rStyle w:val="Nenhum"/>
              <w:rFonts w:ascii="Times Roman" w:hAnsi="Times Roman"/>
              <w:sz w:val="24"/>
              <w:szCs w:val="24"/>
              <w:u w:color="288061"/>
              <w:lang w:val="fr-BE"/>
            </w:rPr>
            <w:t xml:space="preserve">La Délégation de l'UE à Rome a une mission bilatérale avec le Saint-Siège, l'Ordre Souverain de Malte et la République de Saint-Marin, ainsi qu'une mission multilatérale avec les trois Organisations des Nations Unies basées à Rome : l'Organisation des Nations Unies pour l'alimentation et l'agriculture (FAO), le Programme alimentaire mondial (PAM) et le Fonds international de développement agricole (FIDA). Dans le cadre de son mandat, la Délégation de l'UE à Rome vise à promouvoir les valeurs et intérêts communs de l'UE vis-à-vis de ses partenaires dans les contextes bilatéral et multilatéral, en particulier dans les domaines correspondant à nos objectifs en matière de paix, droits de l'homme, </w:t>
          </w:r>
          <w:r w:rsidRPr="00627049">
            <w:rPr>
              <w:rStyle w:val="Nenhum"/>
              <w:rFonts w:ascii="Times Roman" w:hAnsi="Times Roman"/>
              <w:sz w:val="24"/>
              <w:szCs w:val="24"/>
              <w:u w:color="288061"/>
              <w:lang w:val="fr-BE"/>
            </w:rPr>
            <w:lastRenderedPageBreak/>
            <w:t>multilatéralisme, alimentation, agriculture, Pacte vert, numérisation, aide humanitaire et développement.</w:t>
          </w:r>
        </w:p>
      </w:sdtContent>
    </w:sdt>
    <w:bookmarkEnd w:id="0" w:displacedByCustomXml="prev"/>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imes New Roman" w:eastAsia="Times New Roman" w:hAnsi="Times New Roman" w:cs="Times New Roman"/>
          <w:color w:val="auto"/>
          <w:sz w:val="24"/>
          <w:szCs w:val="20"/>
          <w:bdr w:val="none" w:sz="0" w:space="0" w:color="auto"/>
          <w:lang w:val="fr-BE" w:eastAsia="en-GB"/>
        </w:rPr>
        <w:id w:val="-723136291"/>
        <w:placeholder>
          <w:docPart w:val="43375E7FB7294216B3B48CC222A08C2F"/>
        </w:placeholder>
      </w:sdtPr>
      <w:sdtEndPr/>
      <w:sdtContent>
        <w:bookmarkStart w:id="1" w:name="_Hlk132129090" w:displacedByCustomXml="prev"/>
        <w:p w14:paraId="417BE96B" w14:textId="77777777" w:rsidR="00D343A5" w:rsidRPr="00627049" w:rsidRDefault="00D343A5" w:rsidP="00D343A5">
          <w:pPr>
            <w:pStyle w:val="Padro"/>
            <w:spacing w:after="240" w:line="280" w:lineRule="atLeast"/>
            <w:rPr>
              <w:rFonts w:ascii="Times Roman" w:eastAsia="Times Roman" w:hAnsi="Times Roman" w:cs="Times Roman"/>
              <w:sz w:val="24"/>
              <w:szCs w:val="24"/>
              <w:lang w:val="fr-BE"/>
            </w:rPr>
          </w:pPr>
          <w:r>
            <w:rPr>
              <w:rFonts w:ascii="Times Roman" w:hAnsi="Times Roman"/>
              <w:sz w:val="24"/>
              <w:szCs w:val="24"/>
              <w:lang w:val="fr-FR"/>
            </w:rPr>
            <w:t>L'Expert National Dé</w:t>
          </w:r>
          <w:r w:rsidRPr="00627049">
            <w:rPr>
              <w:rFonts w:ascii="Times Roman" w:hAnsi="Times Roman"/>
              <w:sz w:val="24"/>
              <w:szCs w:val="24"/>
              <w:lang w:val="fr-BE"/>
            </w:rPr>
            <w:t>tach</w:t>
          </w:r>
          <w:r>
            <w:rPr>
              <w:rFonts w:ascii="Times Roman" w:hAnsi="Times Roman"/>
              <w:sz w:val="24"/>
              <w:szCs w:val="24"/>
              <w:lang w:val="fr-FR"/>
            </w:rPr>
            <w:t>é (END) contribuera aux t</w:t>
          </w:r>
          <w:r w:rsidRPr="00627049">
            <w:rPr>
              <w:rFonts w:ascii="Times Roman" w:hAnsi="Times Roman"/>
              <w:sz w:val="24"/>
              <w:szCs w:val="24"/>
              <w:lang w:val="fr-BE"/>
            </w:rPr>
            <w:t>â</w:t>
          </w:r>
          <w:r>
            <w:rPr>
              <w:rFonts w:ascii="Times Roman" w:hAnsi="Times Roman"/>
              <w:sz w:val="24"/>
              <w:szCs w:val="24"/>
              <w:lang w:val="fr-FR"/>
            </w:rPr>
            <w:t>ches suivantes :</w:t>
          </w:r>
        </w:p>
        <w:p w14:paraId="49B680BE" w14:textId="77777777" w:rsidR="00D343A5" w:rsidRPr="00627049" w:rsidRDefault="00D343A5" w:rsidP="00D343A5">
          <w:pPr>
            <w:pStyle w:val="Replace"/>
            <w:numPr>
              <w:ilvl w:val="0"/>
              <w:numId w:val="27"/>
            </w:numPr>
            <w:pBdr>
              <w:top w:val="nil"/>
              <w:left w:val="nil"/>
              <w:bottom w:val="nil"/>
              <w:right w:val="nil"/>
              <w:between w:val="nil"/>
              <w:bar w:val="nil"/>
            </w:pBdr>
            <w:spacing w:after="120"/>
            <w:ind w:right="176"/>
            <w:jc w:val="left"/>
            <w:rPr>
              <w:lang w:val="fr-BE"/>
            </w:rPr>
          </w:pPr>
          <w:r w:rsidRPr="00627049">
            <w:rPr>
              <w:rStyle w:val="Nenhum"/>
              <w:lang w:val="fr-BE"/>
            </w:rPr>
            <w:t>Analyse, évaluation et rapport sur la situation générale et l'évolution des agences des Nations Unies basées à Rome : l'Organisation des Nations Unies pour l'alimentation et l'agriculture (FAO), le Fonds international de développement agricole (FIDA), le Programme alimentaire mondial (PAM) et le Comité de la sécurité alimentaire mondiale (CSA), y compris leurs relations avec l'UE et ses États membres.</w:t>
          </w:r>
        </w:p>
        <w:p w14:paraId="7975CED0" w14:textId="77777777" w:rsidR="00D343A5" w:rsidRDefault="00D343A5" w:rsidP="00D343A5">
          <w:pPr>
            <w:pStyle w:val="Corpo"/>
            <w:spacing w:after="120"/>
            <w:ind w:left="426" w:right="176" w:hanging="283"/>
          </w:pPr>
          <w:r w:rsidRPr="00627049">
            <w:rPr>
              <w:rStyle w:val="Nenhum"/>
              <w:lang w:val="fr-BE"/>
            </w:rPr>
            <w:t>•</w:t>
          </w:r>
          <w:r w:rsidRPr="00627049">
            <w:rPr>
              <w:rStyle w:val="Nenhum"/>
              <w:lang w:val="fr-BE"/>
            </w:rPr>
            <w:tab/>
            <w:t>Promotion des priorités politiques de l'UE dans le cadre des travaux et de la coopération avec les agences des Nations Unies basées à Rome et le CSA, en prenant pleinement en compte les intérêts géopolitiques et géostratégiques de l'UE.</w:t>
          </w:r>
        </w:p>
        <w:p w14:paraId="378C00F1" w14:textId="77777777" w:rsidR="00D343A5" w:rsidRDefault="00D343A5" w:rsidP="00D343A5">
          <w:pPr>
            <w:pStyle w:val="Corpo"/>
            <w:spacing w:after="120"/>
            <w:ind w:left="426" w:right="176" w:hanging="283"/>
          </w:pPr>
          <w:r w:rsidRPr="00627049">
            <w:rPr>
              <w:rStyle w:val="Nenhum"/>
              <w:lang w:val="fr-BE"/>
            </w:rPr>
            <w:t>•</w:t>
          </w:r>
          <w:r w:rsidRPr="00627049">
            <w:rPr>
              <w:rStyle w:val="Nenhum"/>
              <w:lang w:val="fr-BE"/>
            </w:rPr>
            <w:tab/>
            <w:t xml:space="preserve">Contribution au développement des politiques dans les domaines de la sécurité alimentaire, de l'agriculture durable, du développement rural, des systèmes alimentaires, de la foresterie et des pêches durables, de la nutrition et de la sécurité sanitaire des aliments, en s'appuyant sur des connaissances et des conclusions fondées sur la science des agences des Nations Unies basées à Rome, du CSA, y compris le Groupe d’experts de haut niveau, et d'autres interfaces science-politique pertinentes. Contribuer à la préparation de positions de négociation conjointes de l'UE pour des volets de travail spécifiques et soutenir l'UE dans ces négociations, notamment au sein du CSA. </w:t>
          </w:r>
        </w:p>
        <w:p w14:paraId="110CEF4D" w14:textId="77777777" w:rsidR="00D343A5" w:rsidRPr="00627049" w:rsidRDefault="00D343A5" w:rsidP="00D343A5">
          <w:pPr>
            <w:pStyle w:val="Replace"/>
            <w:numPr>
              <w:ilvl w:val="0"/>
              <w:numId w:val="29"/>
            </w:numPr>
            <w:pBdr>
              <w:top w:val="nil"/>
              <w:left w:val="nil"/>
              <w:bottom w:val="nil"/>
              <w:right w:val="nil"/>
              <w:between w:val="nil"/>
              <w:bar w:val="nil"/>
            </w:pBdr>
            <w:spacing w:after="120"/>
            <w:ind w:right="176"/>
            <w:rPr>
              <w:lang w:val="fr-BE"/>
            </w:rPr>
          </w:pPr>
          <w:r w:rsidRPr="00627049">
            <w:rPr>
              <w:rStyle w:val="Nenhum"/>
              <w:lang w:val="fr-BE"/>
            </w:rPr>
            <w:t>Contribuer à la coordination avec les États membres de l'UE à Rome, notamment à travers des réunions régulières des Chefs de Mission auprès des agences des Nations Unies basées à Rome.</w:t>
          </w:r>
        </w:p>
        <w:p w14:paraId="384516F8" w14:textId="77777777" w:rsidR="00D343A5" w:rsidRPr="00627049" w:rsidRDefault="00D343A5" w:rsidP="00D343A5">
          <w:pPr>
            <w:pStyle w:val="Replace"/>
            <w:numPr>
              <w:ilvl w:val="0"/>
              <w:numId w:val="29"/>
            </w:numPr>
            <w:pBdr>
              <w:top w:val="nil"/>
              <w:left w:val="nil"/>
              <w:bottom w:val="nil"/>
              <w:right w:val="nil"/>
              <w:between w:val="nil"/>
              <w:bar w:val="nil"/>
            </w:pBdr>
            <w:spacing w:after="120"/>
            <w:ind w:right="176"/>
            <w:rPr>
              <w:lang w:val="fr-BE"/>
            </w:rPr>
          </w:pPr>
          <w:r w:rsidRPr="00627049">
            <w:rPr>
              <w:rStyle w:val="Nenhum"/>
              <w:lang w:val="fr-BE"/>
            </w:rPr>
            <w:t xml:space="preserve">Contribuer aux activités de communication et de sensibilisation de la Délégation de l'UE à Rome. </w:t>
          </w:r>
        </w:p>
        <w:p w14:paraId="4D8EF233" w14:textId="77777777" w:rsidR="00D343A5" w:rsidRDefault="00D343A5" w:rsidP="00D343A5">
          <w:pPr>
            <w:pStyle w:val="Corpo"/>
            <w:spacing w:after="120"/>
            <w:ind w:left="426" w:right="176"/>
          </w:pPr>
          <w:r w:rsidRPr="00627049">
            <w:rPr>
              <w:rStyle w:val="Nenhum"/>
              <w:lang w:val="fr-BE"/>
            </w:rPr>
            <w:t xml:space="preserve">L'Expert National Détaché (END) travaillera sous la supervision du Chef de la section des Nations Unies et sous la direction générale du Chef de la Délégation. Sans préjudice du principe de coopération loyale entre les administrations nationales/régionales et celles de l'Union Européenne, l'END ne traitera pas de cas individuels ayant des implications sur les dossiers qu'il/elle aurait dû traiter dans son administration nationale au cours des deux années précédant son entrée à la Commission, ni sur des cas directement adjacents. </w:t>
          </w:r>
        </w:p>
        <w:p w14:paraId="7FEE5AA7" w14:textId="77777777" w:rsidR="00D343A5" w:rsidRDefault="00D343A5" w:rsidP="00D343A5">
          <w:pPr>
            <w:pStyle w:val="Corpo"/>
            <w:spacing w:after="0"/>
            <w:ind w:left="426" w:right="175"/>
          </w:pPr>
          <w:r w:rsidRPr="00627049">
            <w:rPr>
              <w:rStyle w:val="Nenhum"/>
              <w:lang w:val="fr-BE"/>
            </w:rPr>
            <w:t>En aucun cas, il/elle ne représentera la Commission ou la Délégation de l'UE pour prendre des engagements, financiers ou autres, ou pour négocier au nom de la Commission.</w:t>
          </w:r>
        </w:p>
        <w:p w14:paraId="7618A77C" w14:textId="77777777" w:rsidR="00D343A5" w:rsidRPr="00627049" w:rsidRDefault="00D343A5" w:rsidP="00D343A5">
          <w:pPr>
            <w:pStyle w:val="Corpo"/>
            <w:spacing w:after="120"/>
            <w:ind w:left="425" w:right="176"/>
            <w:rPr>
              <w:rStyle w:val="Nenhum"/>
              <w:lang w:val="fr-BE"/>
            </w:rPr>
          </w:pPr>
          <w:r w:rsidRPr="00627049">
            <w:rPr>
              <w:rStyle w:val="Nenhum"/>
              <w:lang w:val="fr-BE"/>
            </w:rPr>
            <w:t>L'END pourra participer à des réunions externes ou à des missions uniquement en tant que membre d'une délégation dirigée par un fonctionnaire de la Délégation/Commission de l'UE, ou, s'il/elle est seul(e), à titre d'observateur et à des fins d'information.</w:t>
          </w:r>
        </w:p>
        <w:p w14:paraId="79C0F961" w14:textId="77777777" w:rsidR="00D343A5" w:rsidRDefault="00D343A5" w:rsidP="00D343A5">
          <w:pPr>
            <w:pStyle w:val="HTMLPreformatted"/>
            <w:rPr>
              <w:rStyle w:val="Nenhum"/>
              <w:rFonts w:ascii="Times New Roman" w:hAnsi="Times New Roman" w:cs="Arial Unicode MS"/>
              <w:color w:val="000000"/>
              <w:sz w:val="24"/>
              <w:szCs w:val="24"/>
              <w:u w:color="000000"/>
              <w:lang w:val="fr-BE" w:eastAsia="zh-CN"/>
            </w:rPr>
          </w:pPr>
        </w:p>
        <w:p w14:paraId="3A04AAAD" w14:textId="1788E4DF" w:rsidR="00D343A5" w:rsidRPr="00627049" w:rsidRDefault="00D343A5" w:rsidP="00D343A5">
          <w:pPr>
            <w:pStyle w:val="HTMLPreformatted"/>
            <w:rPr>
              <w:rStyle w:val="Nenhum"/>
              <w:rFonts w:ascii="Times New Roman" w:hAnsi="Times New Roman" w:cs="Arial Unicode MS"/>
              <w:color w:val="000000"/>
              <w:sz w:val="24"/>
              <w:szCs w:val="24"/>
              <w:u w:color="000000"/>
              <w:lang w:val="fr-BE" w:eastAsia="zh-CN"/>
            </w:rPr>
          </w:pPr>
          <w:r w:rsidRPr="00627049">
            <w:rPr>
              <w:rStyle w:val="Nenhum"/>
              <w:rFonts w:ascii="Times New Roman" w:hAnsi="Times New Roman" w:cs="Arial Unicode MS"/>
              <w:color w:val="000000"/>
              <w:sz w:val="24"/>
              <w:szCs w:val="24"/>
              <w:u w:color="000000"/>
              <w:lang w:val="fr-BE" w:eastAsia="zh-CN"/>
            </w:rPr>
            <w:t xml:space="preserve">L'END peut être mandaté pour participer seul(e) à des réunions externes ou à des missions ; cela requiert des instructions écrites claires et spécifiques sur la position à adopter lors des réunions/missions de la part du Directeur général d'INTPA ou de la personne de son service à laquelle il a délégué les pouvoirs de dérogation pour l’Expert </w:t>
          </w:r>
          <w:r w:rsidRPr="00627049">
            <w:rPr>
              <w:rStyle w:val="Nenhum"/>
              <w:rFonts w:ascii="Times New Roman" w:hAnsi="Times New Roman" w:cs="Arial Unicode MS"/>
              <w:color w:val="000000"/>
              <w:sz w:val="24"/>
              <w:szCs w:val="24"/>
              <w:u w:color="000000"/>
              <w:lang w:val="fr-BE" w:eastAsia="zh-CN"/>
            </w:rPr>
            <w:lastRenderedPageBreak/>
            <w:t>National Détaché (Art. 6, paragraphes 2 et 3 de la Décision C(2008) 6866 finale de la Commission Européenne du 12.11.2008)</w:t>
          </w:r>
          <w:bookmarkEnd w:id="1"/>
          <w:r w:rsidRPr="00627049">
            <w:rPr>
              <w:rStyle w:val="Nenhum"/>
              <w:rFonts w:ascii="Times New Roman" w:hAnsi="Times New Roman" w:cs="Arial Unicode MS"/>
              <w:color w:val="000000"/>
              <w:sz w:val="24"/>
              <w:szCs w:val="24"/>
              <w:u w:color="000000"/>
              <w:lang w:val="fr-BE" w:eastAsia="zh-CN"/>
            </w:rPr>
            <w:t>, à condition q</w:t>
          </w:r>
          <w:r>
            <w:rPr>
              <w:rStyle w:val="Nenhum"/>
              <w:rFonts w:ascii="Times New Roman" w:hAnsi="Times New Roman" w:cs="Arial Unicode MS"/>
              <w:color w:val="000000"/>
              <w:sz w:val="24"/>
              <w:szCs w:val="24"/>
              <w:u w:color="000000"/>
              <w:lang w:val="fr-BE" w:eastAsia="zh-CN"/>
            </w:rPr>
            <w:t>ue cela ait été accepté par le Chef de D</w:t>
          </w:r>
          <w:r w:rsidRPr="00627049">
            <w:rPr>
              <w:rStyle w:val="Nenhum"/>
              <w:rFonts w:ascii="Times New Roman" w:hAnsi="Times New Roman" w:cs="Arial Unicode MS"/>
              <w:color w:val="000000"/>
              <w:sz w:val="24"/>
              <w:szCs w:val="24"/>
              <w:u w:color="000000"/>
              <w:lang w:val="fr-BE" w:eastAsia="zh-CN"/>
            </w:rPr>
            <w:t>élégation</w:t>
          </w:r>
          <w:r>
            <w:rPr>
              <w:rStyle w:val="Nenhum"/>
              <w:rFonts w:ascii="Times New Roman" w:hAnsi="Times New Roman" w:cs="Arial Unicode MS"/>
              <w:color w:val="000000"/>
              <w:sz w:val="24"/>
              <w:szCs w:val="24"/>
              <w:u w:color="000000"/>
              <w:lang w:val="fr-BE" w:eastAsia="zh-CN"/>
            </w:rPr>
            <w:t>.</w:t>
          </w:r>
        </w:p>
        <w:p w14:paraId="3B1D2FA2" w14:textId="6014823E" w:rsidR="001A0074" w:rsidRPr="00080A71" w:rsidRDefault="00E30A32"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eastAsia="Times New Roman" w:cs="Times New Roman"/>
          <w:color w:val="auto"/>
          <w:szCs w:val="20"/>
          <w:bdr w:val="none" w:sz="0" w:space="0" w:color="auto"/>
          <w:lang w:val="fr-BE" w:eastAsia="en-GB"/>
        </w:rPr>
        <w:id w:val="-689827953"/>
        <w:placeholder>
          <w:docPart w:val="C681F6FA0FB94712B2C889AACA29AC9D"/>
        </w:placeholder>
      </w:sdtPr>
      <w:sdtEndPr/>
      <w:sdtContent>
        <w:p w14:paraId="15512148" w14:textId="77777777" w:rsidR="00D343A5" w:rsidRDefault="00D343A5" w:rsidP="00D343A5">
          <w:pPr>
            <w:pStyle w:val="Corpo"/>
            <w:tabs>
              <w:tab w:val="left" w:pos="709"/>
            </w:tabs>
            <w:spacing w:after="0"/>
            <w:ind w:right="60"/>
          </w:pPr>
          <w:r>
            <w:rPr>
              <w:rStyle w:val="Nenhum"/>
              <w:u w:val="single"/>
              <w:lang w:val="en-US"/>
            </w:rPr>
            <w:t>Diplôme</w:t>
          </w:r>
          <w:r>
            <w:rPr>
              <w:rStyle w:val="Nenhum"/>
              <w:lang w:val="en-US"/>
            </w:rPr>
            <w:t xml:space="preserve"> </w:t>
          </w:r>
        </w:p>
        <w:p w14:paraId="64768858" w14:textId="77777777" w:rsidR="00D343A5" w:rsidRDefault="00D343A5" w:rsidP="00D343A5">
          <w:pPr>
            <w:pStyle w:val="Replace"/>
            <w:numPr>
              <w:ilvl w:val="0"/>
              <w:numId w:val="31"/>
            </w:numPr>
            <w:pBdr>
              <w:top w:val="nil"/>
              <w:left w:val="nil"/>
              <w:bottom w:val="nil"/>
              <w:right w:val="nil"/>
              <w:between w:val="nil"/>
              <w:bar w:val="nil"/>
            </w:pBdr>
            <w:spacing w:after="0" w:line="276" w:lineRule="auto"/>
            <w:ind w:right="1317"/>
            <w:jc w:val="left"/>
            <w:rPr>
              <w:lang w:val="en-US"/>
            </w:rPr>
          </w:pPr>
          <w:r>
            <w:rPr>
              <w:rStyle w:val="Nenhum"/>
              <w:lang w:val="en-US"/>
            </w:rPr>
            <w:t>d'études universitaires ou</w:t>
          </w:r>
        </w:p>
        <w:p w14:paraId="635F85DE" w14:textId="79530252" w:rsidR="00D343A5" w:rsidRPr="00D343A5" w:rsidRDefault="00D343A5" w:rsidP="00D343A5">
          <w:pPr>
            <w:pStyle w:val="Replace"/>
            <w:numPr>
              <w:ilvl w:val="0"/>
              <w:numId w:val="31"/>
            </w:numPr>
            <w:pBdr>
              <w:top w:val="nil"/>
              <w:left w:val="nil"/>
              <w:bottom w:val="nil"/>
              <w:right w:val="nil"/>
              <w:between w:val="nil"/>
              <w:bar w:val="nil"/>
            </w:pBdr>
            <w:spacing w:after="0" w:line="276" w:lineRule="auto"/>
            <w:ind w:right="1317"/>
            <w:jc w:val="left"/>
            <w:rPr>
              <w:rStyle w:val="Nenhum"/>
              <w:lang w:val="fr-BE"/>
            </w:rPr>
          </w:pPr>
          <w:r w:rsidRPr="00627049">
            <w:rPr>
              <w:lang w:val="fr-BE"/>
            </w:rPr>
            <w:t>formation professionnelle ou expérience professionnelle d'un niveau équivalent</w:t>
          </w:r>
          <w:r>
            <w:rPr>
              <w:lang w:val="fr-BE"/>
            </w:rPr>
            <w:t xml:space="preserve"> </w:t>
          </w:r>
          <w:r w:rsidRPr="00D343A5">
            <w:rPr>
              <w:rStyle w:val="Nenhum"/>
              <w:lang w:val="fr-BE"/>
            </w:rPr>
            <w:t>dans le(s) domaine(s) de : coopération au développement, sécurité alimentaire, nutrition, agriculture, foresterie, pêches, sciences vétérinaires, économie agricole, relations internationales ou équivalent.</w:t>
          </w:r>
        </w:p>
        <w:p w14:paraId="629F8F7B" w14:textId="77777777" w:rsidR="00D343A5" w:rsidRPr="00627049" w:rsidRDefault="00D343A5" w:rsidP="00D343A5">
          <w:pPr>
            <w:pStyle w:val="Corpo"/>
            <w:tabs>
              <w:tab w:val="left" w:pos="1418"/>
              <w:tab w:val="left" w:pos="1560"/>
            </w:tabs>
            <w:spacing w:after="0"/>
            <w:ind w:right="60"/>
            <w:rPr>
              <w:rStyle w:val="Nenhum"/>
              <w:lang w:val="fr-BE"/>
            </w:rPr>
          </w:pPr>
        </w:p>
        <w:p w14:paraId="1E5048DD" w14:textId="77777777" w:rsidR="00D343A5" w:rsidRDefault="00D343A5" w:rsidP="00D343A5">
          <w:pPr>
            <w:pStyle w:val="Padro"/>
            <w:spacing w:after="240" w:line="280" w:lineRule="atLeast"/>
            <w:rPr>
              <w:rStyle w:val="Nenhum"/>
              <w:rFonts w:ascii="Times Roman" w:eastAsia="Times Roman" w:hAnsi="Times Roman" w:cs="Times Roman"/>
              <w:sz w:val="24"/>
              <w:szCs w:val="24"/>
              <w:u w:val="single"/>
            </w:rPr>
          </w:pPr>
          <w:r>
            <w:rPr>
              <w:rStyle w:val="Nenhum"/>
              <w:rFonts w:ascii="Times Roman" w:hAnsi="Times Roman"/>
              <w:sz w:val="24"/>
              <w:szCs w:val="24"/>
              <w:u w:val="single"/>
            </w:rPr>
            <w:t>Exp</w:t>
          </w:r>
          <w:r>
            <w:rPr>
              <w:rStyle w:val="Nenhum"/>
              <w:rFonts w:ascii="Times Roman" w:hAnsi="Times Roman"/>
              <w:sz w:val="24"/>
              <w:szCs w:val="24"/>
              <w:u w:val="single"/>
              <w:lang w:val="pt-PT"/>
            </w:rPr>
            <w:t>é</w:t>
          </w:r>
          <w:r>
            <w:rPr>
              <w:rStyle w:val="Nenhum"/>
              <w:rFonts w:ascii="Times Roman" w:hAnsi="Times Roman"/>
              <w:sz w:val="24"/>
              <w:szCs w:val="24"/>
              <w:u w:val="single"/>
            </w:rPr>
            <w:t>rience professionnelle</w:t>
          </w:r>
        </w:p>
        <w:p w14:paraId="0907FE56" w14:textId="77777777" w:rsidR="00D343A5" w:rsidRDefault="00D343A5" w:rsidP="00D343A5">
          <w:pPr>
            <w:pStyle w:val="Corpo"/>
            <w:tabs>
              <w:tab w:val="left" w:pos="709"/>
            </w:tabs>
            <w:spacing w:after="0"/>
            <w:ind w:left="709" w:right="60"/>
            <w:rPr>
              <w:lang w:val="en-US"/>
            </w:rPr>
          </w:pPr>
        </w:p>
        <w:p w14:paraId="12B4D7A0" w14:textId="77777777" w:rsidR="00D343A5" w:rsidRPr="00627049" w:rsidRDefault="00D343A5" w:rsidP="00D343A5">
          <w:pPr>
            <w:pStyle w:val="Replace"/>
            <w:numPr>
              <w:ilvl w:val="0"/>
              <w:numId w:val="33"/>
            </w:numPr>
            <w:pBdr>
              <w:top w:val="nil"/>
              <w:left w:val="nil"/>
              <w:bottom w:val="nil"/>
              <w:right w:val="nil"/>
              <w:between w:val="nil"/>
              <w:bar w:val="nil"/>
            </w:pBdr>
            <w:spacing w:after="0" w:line="276" w:lineRule="auto"/>
            <w:ind w:right="60"/>
            <w:jc w:val="left"/>
            <w:rPr>
              <w:lang w:val="fr-BE"/>
            </w:rPr>
          </w:pPr>
          <w:r w:rsidRPr="00627049">
            <w:rPr>
              <w:lang w:val="fr-BE"/>
            </w:rPr>
            <w:t>Une expérience dans un environnement multilatéral (de préférence dans le système de l’UE ou des Nations Unies) serait un atout.</w:t>
          </w:r>
        </w:p>
        <w:p w14:paraId="3EC0D94F" w14:textId="77777777" w:rsidR="00D343A5" w:rsidRPr="00627049" w:rsidRDefault="00D343A5" w:rsidP="00D343A5">
          <w:pPr>
            <w:pStyle w:val="Replace"/>
            <w:numPr>
              <w:ilvl w:val="0"/>
              <w:numId w:val="33"/>
            </w:numPr>
            <w:pBdr>
              <w:top w:val="nil"/>
              <w:left w:val="nil"/>
              <w:bottom w:val="nil"/>
              <w:right w:val="nil"/>
              <w:between w:val="nil"/>
              <w:bar w:val="nil"/>
            </w:pBdr>
            <w:spacing w:after="0" w:line="276" w:lineRule="auto"/>
            <w:ind w:right="60"/>
            <w:jc w:val="left"/>
            <w:rPr>
              <w:lang w:val="fr-BE"/>
            </w:rPr>
          </w:pPr>
          <w:r w:rsidRPr="00627049">
            <w:rPr>
              <w:rStyle w:val="Nenhum"/>
              <w:lang w:val="fr-BE"/>
            </w:rPr>
            <w:t>Bonne connaissance des politiques européennes en matière de développement, de sécurité alimentaire, de nutrition et de systèmes alimentaires.</w:t>
          </w:r>
        </w:p>
        <w:p w14:paraId="075D90C8" w14:textId="77777777" w:rsidR="00D343A5" w:rsidRPr="00627049" w:rsidRDefault="00D343A5" w:rsidP="00D343A5">
          <w:pPr>
            <w:pStyle w:val="Replace"/>
            <w:numPr>
              <w:ilvl w:val="0"/>
              <w:numId w:val="33"/>
            </w:numPr>
            <w:pBdr>
              <w:top w:val="nil"/>
              <w:left w:val="nil"/>
              <w:bottom w:val="nil"/>
              <w:right w:val="nil"/>
              <w:between w:val="nil"/>
              <w:bar w:val="nil"/>
            </w:pBdr>
            <w:spacing w:after="0" w:line="276" w:lineRule="auto"/>
            <w:ind w:right="60"/>
            <w:jc w:val="left"/>
            <w:rPr>
              <w:lang w:val="fr-BE"/>
            </w:rPr>
          </w:pPr>
          <w:r w:rsidRPr="00627049">
            <w:rPr>
              <w:rStyle w:val="Nenhum"/>
              <w:lang w:val="fr-BE"/>
            </w:rPr>
            <w:t>Des connaissances en matière de commerce et de relations extérieures (y compris l’action extérieure de l'UE et les politiques extérieures connexes de l'UE) constitueraient un avantage.</w:t>
          </w:r>
        </w:p>
        <w:p w14:paraId="2B87FD68" w14:textId="77777777" w:rsidR="00D343A5" w:rsidRPr="00627049" w:rsidRDefault="00D343A5" w:rsidP="00D343A5">
          <w:pPr>
            <w:pStyle w:val="Replace"/>
            <w:numPr>
              <w:ilvl w:val="0"/>
              <w:numId w:val="33"/>
            </w:numPr>
            <w:pBdr>
              <w:top w:val="nil"/>
              <w:left w:val="nil"/>
              <w:bottom w:val="nil"/>
              <w:right w:val="nil"/>
              <w:between w:val="nil"/>
              <w:bar w:val="nil"/>
            </w:pBdr>
            <w:spacing w:after="0" w:line="276" w:lineRule="auto"/>
            <w:ind w:right="60"/>
            <w:jc w:val="left"/>
            <w:rPr>
              <w:lang w:val="fr-BE"/>
            </w:rPr>
          </w:pPr>
          <w:r w:rsidRPr="00627049">
            <w:rPr>
              <w:rStyle w:val="Nenhum"/>
              <w:lang w:val="fr-BE"/>
            </w:rPr>
            <w:t>Bonne connaissance des institutions de l'UE et des processus décisionnels y afférents.</w:t>
          </w:r>
        </w:p>
        <w:p w14:paraId="1B1153D4" w14:textId="77777777" w:rsidR="00D343A5" w:rsidRPr="00627049" w:rsidRDefault="00D343A5" w:rsidP="00D343A5">
          <w:pPr>
            <w:pStyle w:val="Replace"/>
            <w:numPr>
              <w:ilvl w:val="0"/>
              <w:numId w:val="33"/>
            </w:numPr>
            <w:pBdr>
              <w:top w:val="nil"/>
              <w:left w:val="nil"/>
              <w:bottom w:val="nil"/>
              <w:right w:val="nil"/>
              <w:between w:val="nil"/>
              <w:bar w:val="nil"/>
            </w:pBdr>
            <w:spacing w:after="0" w:line="276" w:lineRule="auto"/>
            <w:ind w:right="60"/>
            <w:jc w:val="left"/>
            <w:rPr>
              <w:lang w:val="fr-BE"/>
            </w:rPr>
          </w:pPr>
          <w:r w:rsidRPr="00627049">
            <w:rPr>
              <w:rStyle w:val="Nenhum"/>
              <w:lang w:val="fr-BE"/>
            </w:rPr>
            <w:t>Bonnes compétences en analyse et en rédaction de rapports.</w:t>
          </w:r>
        </w:p>
        <w:p w14:paraId="02C9A5B7" w14:textId="77777777" w:rsidR="00D343A5" w:rsidRPr="00627049" w:rsidRDefault="00D343A5" w:rsidP="00D343A5">
          <w:pPr>
            <w:pStyle w:val="Replace"/>
            <w:numPr>
              <w:ilvl w:val="0"/>
              <w:numId w:val="33"/>
            </w:numPr>
            <w:pBdr>
              <w:top w:val="nil"/>
              <w:left w:val="nil"/>
              <w:bottom w:val="nil"/>
              <w:right w:val="nil"/>
              <w:between w:val="nil"/>
              <w:bar w:val="nil"/>
            </w:pBdr>
            <w:spacing w:after="0" w:line="276" w:lineRule="auto"/>
            <w:ind w:right="60"/>
            <w:jc w:val="left"/>
            <w:rPr>
              <w:lang w:val="fr-BE"/>
            </w:rPr>
          </w:pPr>
          <w:r w:rsidRPr="00627049">
            <w:rPr>
              <w:rStyle w:val="Nenhum"/>
              <w:lang w:val="fr-BE"/>
            </w:rPr>
            <w:t>Connaissance de base du travail diplomatique.</w:t>
          </w:r>
        </w:p>
        <w:p w14:paraId="0CE70BB7" w14:textId="77777777" w:rsidR="00D343A5" w:rsidRPr="00627049" w:rsidRDefault="00D343A5" w:rsidP="00D343A5">
          <w:pPr>
            <w:pStyle w:val="Corpo"/>
            <w:tabs>
              <w:tab w:val="left" w:pos="1418"/>
              <w:tab w:val="left" w:pos="1560"/>
            </w:tabs>
            <w:spacing w:after="0"/>
            <w:ind w:right="60"/>
            <w:rPr>
              <w:rStyle w:val="Nenhum"/>
              <w:lang w:val="fr-BE"/>
            </w:rPr>
          </w:pPr>
        </w:p>
        <w:p w14:paraId="16B921BC" w14:textId="77777777" w:rsidR="00D343A5" w:rsidRDefault="00D343A5" w:rsidP="00D343A5">
          <w:pPr>
            <w:pStyle w:val="Corpo"/>
            <w:tabs>
              <w:tab w:val="left" w:pos="993"/>
            </w:tabs>
            <w:spacing w:after="0"/>
            <w:ind w:right="60"/>
            <w:rPr>
              <w:u w:val="single"/>
            </w:rPr>
          </w:pPr>
          <w:r>
            <w:rPr>
              <w:rStyle w:val="Nenhum"/>
              <w:u w:val="single"/>
              <w:lang w:val="pt-PT"/>
            </w:rPr>
            <w:t>L</w:t>
          </w:r>
          <w:r w:rsidRPr="00627049">
            <w:rPr>
              <w:rStyle w:val="Nenhum"/>
              <w:u w:val="single"/>
              <w:lang w:val="fr-BE"/>
            </w:rPr>
            <w:t>angues nécessaires pour l'exercice des fonctions</w:t>
          </w:r>
        </w:p>
        <w:p w14:paraId="574FE0E2" w14:textId="77777777" w:rsidR="00D343A5" w:rsidRPr="00627049" w:rsidRDefault="00D343A5" w:rsidP="00D343A5">
          <w:pPr>
            <w:pStyle w:val="Corpo"/>
            <w:tabs>
              <w:tab w:val="left" w:pos="993"/>
            </w:tabs>
            <w:spacing w:after="0"/>
            <w:ind w:right="60"/>
            <w:rPr>
              <w:lang w:val="fr-BE"/>
            </w:rPr>
          </w:pPr>
        </w:p>
        <w:p w14:paraId="2E732684" w14:textId="77777777" w:rsidR="00D343A5" w:rsidRPr="00627049" w:rsidRDefault="00D343A5" w:rsidP="00D343A5">
          <w:pPr>
            <w:pStyle w:val="Corpo"/>
            <w:tabs>
              <w:tab w:val="left" w:pos="993"/>
            </w:tabs>
            <w:spacing w:after="0"/>
            <w:ind w:right="60"/>
            <w:rPr>
              <w:rStyle w:val="Nenhum"/>
              <w:lang w:val="fr-BE"/>
            </w:rPr>
          </w:pPr>
          <w:r w:rsidRPr="00627049">
            <w:rPr>
              <w:rStyle w:val="Nenhum"/>
              <w:lang w:val="fr-BE"/>
            </w:rPr>
            <w:t>Excellente maîtrise de l’anglais (capacité à rédiger des rapports et à s’exprimer en public). La capacité de travailler en français et/ou en espagnol (ou dans une autre langue officielle des Nations Unies) serait un atout. Une connaissance de base de l'italien serait utile.</w:t>
          </w:r>
        </w:p>
        <w:p w14:paraId="7E409EA7" w14:textId="12996109" w:rsidR="001A0074" w:rsidRPr="00017FBA" w:rsidRDefault="00E30A32"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Times Roman">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79A"/>
    <w:multiLevelType w:val="hybridMultilevel"/>
    <w:tmpl w:val="399A5794"/>
    <w:styleLink w:val="EstiloImportado6"/>
    <w:lvl w:ilvl="0" w:tplc="45A8BA70">
      <w:start w:val="1"/>
      <w:numFmt w:val="bullet"/>
      <w:lvlText w:val="-"/>
      <w:lvlJc w:val="left"/>
      <w:pPr>
        <w:ind w:left="42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CD36450C">
      <w:start w:val="1"/>
      <w:numFmt w:val="bullet"/>
      <w:lvlText w:val="o"/>
      <w:lvlJc w:val="left"/>
      <w:pPr>
        <w:ind w:left="114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471C583A">
      <w:start w:val="1"/>
      <w:numFmt w:val="bullet"/>
      <w:lvlText w:val="▪"/>
      <w:lvlJc w:val="left"/>
      <w:pPr>
        <w:ind w:left="186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16E820C0">
      <w:start w:val="1"/>
      <w:numFmt w:val="bullet"/>
      <w:lvlText w:val="•"/>
      <w:lvlJc w:val="left"/>
      <w:pPr>
        <w:ind w:left="258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D1DEB8AC">
      <w:start w:val="1"/>
      <w:numFmt w:val="bullet"/>
      <w:lvlText w:val="o"/>
      <w:lvlJc w:val="left"/>
      <w:pPr>
        <w:ind w:left="330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354E83B0">
      <w:start w:val="1"/>
      <w:numFmt w:val="bullet"/>
      <w:lvlText w:val="▪"/>
      <w:lvlJc w:val="left"/>
      <w:pPr>
        <w:ind w:left="402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9D788032">
      <w:start w:val="1"/>
      <w:numFmt w:val="bullet"/>
      <w:lvlText w:val="•"/>
      <w:lvlJc w:val="left"/>
      <w:pPr>
        <w:ind w:left="474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6DDC12D0">
      <w:start w:val="1"/>
      <w:numFmt w:val="bullet"/>
      <w:lvlText w:val="o"/>
      <w:lvlJc w:val="left"/>
      <w:pPr>
        <w:ind w:left="546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F4E6BD04">
      <w:start w:val="1"/>
      <w:numFmt w:val="bullet"/>
      <w:lvlText w:val="▪"/>
      <w:lvlJc w:val="left"/>
      <w:pPr>
        <w:ind w:left="618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8635EC"/>
    <w:multiLevelType w:val="hybridMultilevel"/>
    <w:tmpl w:val="CD3AB164"/>
    <w:styleLink w:val="EstiloImportado4"/>
    <w:lvl w:ilvl="0" w:tplc="E05A8E52">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59E055BE">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D346E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69231F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CE7CF6">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182A7C">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B789B36">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7CA086">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9BA8446">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BFA58A9"/>
    <w:multiLevelType w:val="hybridMultilevel"/>
    <w:tmpl w:val="24E83FD4"/>
    <w:styleLink w:val="EstiloImportado5"/>
    <w:lvl w:ilvl="0" w:tplc="2F9CDFE0">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090E88E">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48D314">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8BCA3F4">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1664AF8">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62DD1C">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D987858">
      <w:start w:val="1"/>
      <w:numFmt w:val="bullet"/>
      <w:lvlText w:val="·"/>
      <w:lvlJc w:val="left"/>
      <w:pPr>
        <w:ind w:left="47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DAA9770">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43D4C">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E6B5002"/>
    <w:multiLevelType w:val="hybridMultilevel"/>
    <w:tmpl w:val="50FEBA98"/>
    <w:styleLink w:val="EstiloImportado7"/>
    <w:lvl w:ilvl="0" w:tplc="EECEFFB0">
      <w:start w:val="1"/>
      <w:numFmt w:val="bullet"/>
      <w:lvlText w:val="-"/>
      <w:lvlJc w:val="left"/>
      <w:pPr>
        <w:tabs>
          <w:tab w:val="left" w:pos="1276"/>
        </w:tabs>
        <w:ind w:left="42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8F16D724">
      <w:start w:val="1"/>
      <w:numFmt w:val="bullet"/>
      <w:lvlText w:val="o"/>
      <w:lvlJc w:val="left"/>
      <w:pPr>
        <w:tabs>
          <w:tab w:val="left" w:pos="1276"/>
        </w:tabs>
        <w:ind w:left="114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1988DD58">
      <w:start w:val="1"/>
      <w:numFmt w:val="bullet"/>
      <w:lvlText w:val="▪"/>
      <w:lvlJc w:val="left"/>
      <w:pPr>
        <w:tabs>
          <w:tab w:val="left" w:pos="1276"/>
        </w:tabs>
        <w:ind w:left="186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07DCD924">
      <w:start w:val="1"/>
      <w:numFmt w:val="bullet"/>
      <w:lvlText w:val="•"/>
      <w:lvlJc w:val="left"/>
      <w:pPr>
        <w:tabs>
          <w:tab w:val="left" w:pos="1276"/>
        </w:tabs>
        <w:ind w:left="258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E95063DE">
      <w:start w:val="1"/>
      <w:numFmt w:val="bullet"/>
      <w:lvlText w:val="o"/>
      <w:lvlJc w:val="left"/>
      <w:pPr>
        <w:tabs>
          <w:tab w:val="left" w:pos="1276"/>
        </w:tabs>
        <w:ind w:left="330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C16614D6">
      <w:start w:val="1"/>
      <w:numFmt w:val="bullet"/>
      <w:lvlText w:val="▪"/>
      <w:lvlJc w:val="left"/>
      <w:pPr>
        <w:tabs>
          <w:tab w:val="left" w:pos="1276"/>
        </w:tabs>
        <w:ind w:left="402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CF06D798">
      <w:start w:val="1"/>
      <w:numFmt w:val="bullet"/>
      <w:lvlText w:val="•"/>
      <w:lvlJc w:val="left"/>
      <w:pPr>
        <w:tabs>
          <w:tab w:val="left" w:pos="1276"/>
        </w:tabs>
        <w:ind w:left="474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622C9ABC">
      <w:start w:val="1"/>
      <w:numFmt w:val="bullet"/>
      <w:lvlText w:val="o"/>
      <w:lvlJc w:val="left"/>
      <w:pPr>
        <w:tabs>
          <w:tab w:val="left" w:pos="1276"/>
        </w:tabs>
        <w:ind w:left="546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857ED2CC">
      <w:start w:val="1"/>
      <w:numFmt w:val="bullet"/>
      <w:lvlText w:val="▪"/>
      <w:lvlJc w:val="left"/>
      <w:pPr>
        <w:tabs>
          <w:tab w:val="left" w:pos="1276"/>
        </w:tabs>
        <w:ind w:left="6186"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4"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5" w15:restartNumberingAfterBreak="0">
    <w:nsid w:val="655D7F6E"/>
    <w:multiLevelType w:val="hybridMultilevel"/>
    <w:tmpl w:val="50FEBA98"/>
    <w:numStyleLink w:val="EstiloImportado7"/>
  </w:abstractNum>
  <w:abstractNum w:abstractNumId="26"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F3C1AC5"/>
    <w:multiLevelType w:val="hybridMultilevel"/>
    <w:tmpl w:val="24E83FD4"/>
    <w:numStyleLink w:val="EstiloImportado5"/>
  </w:abstractNum>
  <w:abstractNum w:abstractNumId="28" w15:restartNumberingAfterBreak="0">
    <w:nsid w:val="79A921AF"/>
    <w:multiLevelType w:val="hybridMultilevel"/>
    <w:tmpl w:val="399A5794"/>
    <w:numStyleLink w:val="EstiloImportado6"/>
  </w:abstractNum>
  <w:abstractNum w:abstractNumId="29"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1"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FB04BBF"/>
    <w:multiLevelType w:val="hybridMultilevel"/>
    <w:tmpl w:val="CD3AB164"/>
    <w:numStyleLink w:val="EstiloImportado4"/>
  </w:abstractNum>
  <w:num w:numId="1" w16cid:durableId="755901044">
    <w:abstractNumId w:val="1"/>
  </w:num>
  <w:num w:numId="2" w16cid:durableId="1948195848">
    <w:abstractNumId w:val="14"/>
  </w:num>
  <w:num w:numId="3" w16cid:durableId="1283655466">
    <w:abstractNumId w:val="9"/>
  </w:num>
  <w:num w:numId="4" w16cid:durableId="627203124">
    <w:abstractNumId w:val="15"/>
  </w:num>
  <w:num w:numId="5" w16cid:durableId="1682463701">
    <w:abstractNumId w:val="21"/>
  </w:num>
  <w:num w:numId="6" w16cid:durableId="181284729">
    <w:abstractNumId w:val="26"/>
  </w:num>
  <w:num w:numId="7" w16cid:durableId="1703705955">
    <w:abstractNumId w:val="2"/>
  </w:num>
  <w:num w:numId="8" w16cid:durableId="1191845979">
    <w:abstractNumId w:val="8"/>
  </w:num>
  <w:num w:numId="9" w16cid:durableId="317001864">
    <w:abstractNumId w:val="18"/>
  </w:num>
  <w:num w:numId="10" w16cid:durableId="1149245481">
    <w:abstractNumId w:val="3"/>
  </w:num>
  <w:num w:numId="11" w16cid:durableId="1423138251">
    <w:abstractNumId w:val="5"/>
  </w:num>
  <w:num w:numId="12" w16cid:durableId="1835801341">
    <w:abstractNumId w:val="6"/>
  </w:num>
  <w:num w:numId="13" w16cid:durableId="773790429">
    <w:abstractNumId w:val="11"/>
  </w:num>
  <w:num w:numId="14" w16cid:durableId="440151463">
    <w:abstractNumId w:val="16"/>
  </w:num>
  <w:num w:numId="15" w16cid:durableId="1021391429">
    <w:abstractNumId w:val="20"/>
  </w:num>
  <w:num w:numId="16" w16cid:durableId="1891763309">
    <w:abstractNumId w:val="29"/>
  </w:num>
  <w:num w:numId="17" w16cid:durableId="359092911">
    <w:abstractNumId w:val="12"/>
  </w:num>
  <w:num w:numId="18" w16cid:durableId="308289900">
    <w:abstractNumId w:val="13"/>
  </w:num>
  <w:num w:numId="19" w16cid:durableId="1964581914">
    <w:abstractNumId w:val="30"/>
  </w:num>
  <w:num w:numId="20" w16cid:durableId="263345260">
    <w:abstractNumId w:val="19"/>
  </w:num>
  <w:num w:numId="21" w16cid:durableId="710300249">
    <w:abstractNumId w:val="22"/>
  </w:num>
  <w:num w:numId="22" w16cid:durableId="1059403124">
    <w:abstractNumId w:val="4"/>
  </w:num>
  <w:num w:numId="23" w16cid:durableId="482745588">
    <w:abstractNumId w:val="23"/>
  </w:num>
  <w:num w:numId="24" w16cid:durableId="1895769187">
    <w:abstractNumId w:val="24"/>
  </w:num>
  <w:num w:numId="25" w16cid:durableId="681978231">
    <w:abstractNumId w:val="31"/>
  </w:num>
  <w:num w:numId="26" w16cid:durableId="1815415879">
    <w:abstractNumId w:val="7"/>
  </w:num>
  <w:num w:numId="27" w16cid:durableId="1146361980">
    <w:abstractNumId w:val="32"/>
  </w:num>
  <w:num w:numId="28" w16cid:durableId="82797410">
    <w:abstractNumId w:val="10"/>
  </w:num>
  <w:num w:numId="29" w16cid:durableId="2007241830">
    <w:abstractNumId w:val="27"/>
  </w:num>
  <w:num w:numId="30" w16cid:durableId="1128012250">
    <w:abstractNumId w:val="0"/>
  </w:num>
  <w:num w:numId="31" w16cid:durableId="146292408">
    <w:abstractNumId w:val="28"/>
  </w:num>
  <w:num w:numId="32" w16cid:durableId="1330520076">
    <w:abstractNumId w:val="17"/>
  </w:num>
  <w:num w:numId="33" w16cid:durableId="63225318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C417C"/>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A06"/>
    <w:rsid w:val="00866E7F"/>
    <w:rsid w:val="008A0FF3"/>
    <w:rsid w:val="009025FA"/>
    <w:rsid w:val="0092295D"/>
    <w:rsid w:val="00A34A7B"/>
    <w:rsid w:val="00A65B97"/>
    <w:rsid w:val="00A917BE"/>
    <w:rsid w:val="00B07E17"/>
    <w:rsid w:val="00B31DC8"/>
    <w:rsid w:val="00B566C1"/>
    <w:rsid w:val="00BF389A"/>
    <w:rsid w:val="00C518F5"/>
    <w:rsid w:val="00D343A5"/>
    <w:rsid w:val="00D703FC"/>
    <w:rsid w:val="00D82B48"/>
    <w:rsid w:val="00DA5950"/>
    <w:rsid w:val="00DC5C83"/>
    <w:rsid w:val="00E0579E"/>
    <w:rsid w:val="00E30A32"/>
    <w:rsid w:val="00E5708E"/>
    <w:rsid w:val="00E850B7"/>
    <w:rsid w:val="00E927FE"/>
    <w:rsid w:val="00F65CC2"/>
    <w:rsid w:val="00FA1D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Nenhum">
    <w:name w:val="Nenhum"/>
    <w:rsid w:val="00D343A5"/>
    <w:rPr>
      <w:lang w:val="fr-FR"/>
    </w:rPr>
  </w:style>
  <w:style w:type="paragraph" w:customStyle="1" w:styleId="Padro">
    <w:name w:val="Padrão"/>
    <w:rsid w:val="00D343A5"/>
    <w:pPr>
      <w:pBdr>
        <w:top w:val="nil"/>
        <w:left w:val="nil"/>
        <w:bottom w:val="nil"/>
        <w:right w:val="nil"/>
        <w:between w:val="nil"/>
        <w:bar w:val="nil"/>
      </w:pBdr>
    </w:pPr>
    <w:rPr>
      <w:rFonts w:ascii="Helvetica Neue" w:eastAsia="Helvetica Neue" w:hAnsi="Helvetica Neue" w:cs="Helvetica Neue"/>
      <w:color w:val="000000"/>
      <w:sz w:val="22"/>
      <w:szCs w:val="22"/>
      <w:bdr w:val="nil"/>
      <w:lang w:val="en-US" w:eastAsia="zh-CN"/>
    </w:rPr>
  </w:style>
  <w:style w:type="paragraph" w:customStyle="1" w:styleId="Corpo">
    <w:name w:val="Corpo"/>
    <w:rsid w:val="00D343A5"/>
    <w:pPr>
      <w:pBdr>
        <w:top w:val="nil"/>
        <w:left w:val="nil"/>
        <w:bottom w:val="nil"/>
        <w:right w:val="nil"/>
        <w:between w:val="nil"/>
        <w:bar w:val="nil"/>
      </w:pBdr>
      <w:spacing w:after="240"/>
      <w:jc w:val="both"/>
    </w:pPr>
    <w:rPr>
      <w:rFonts w:eastAsia="Arial Unicode MS" w:cs="Arial Unicode MS"/>
      <w:color w:val="000000"/>
      <w:szCs w:val="24"/>
      <w:u w:color="000000"/>
      <w:bdr w:val="nil"/>
      <w:lang w:eastAsia="zh-CN"/>
    </w:rPr>
  </w:style>
  <w:style w:type="numbering" w:customStyle="1" w:styleId="EstiloImportado4">
    <w:name w:val="Estilo Importado 4"/>
    <w:rsid w:val="00D343A5"/>
    <w:pPr>
      <w:numPr>
        <w:numId w:val="26"/>
      </w:numPr>
    </w:pPr>
  </w:style>
  <w:style w:type="numbering" w:customStyle="1" w:styleId="EstiloImportado5">
    <w:name w:val="Estilo Importado 5"/>
    <w:rsid w:val="00D343A5"/>
    <w:pPr>
      <w:numPr>
        <w:numId w:val="28"/>
      </w:numPr>
    </w:pPr>
  </w:style>
  <w:style w:type="numbering" w:customStyle="1" w:styleId="EstiloImportado6">
    <w:name w:val="Estilo Importado 6"/>
    <w:rsid w:val="00D343A5"/>
    <w:pPr>
      <w:numPr>
        <w:numId w:val="30"/>
      </w:numPr>
    </w:pPr>
  </w:style>
  <w:style w:type="numbering" w:customStyle="1" w:styleId="EstiloImportado7">
    <w:name w:val="Estilo Importado 7"/>
    <w:rsid w:val="00D343A5"/>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Times Roman">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57C7"/>
    <w:multiLevelType w:val="multilevel"/>
    <w:tmpl w:val="5CFED5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75990665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http://www.w3.org/XML/1998/namespace"/>
    <ds:schemaRef ds:uri="http://purl.org/dc/elements/1.1/"/>
    <ds:schemaRef ds:uri="http://purl.org/dc/terms/"/>
    <ds:schemaRef ds:uri="1929b814-5a78-4bdc-9841-d8b9ef424f65"/>
    <ds:schemaRef ds:uri="a41a97bf-0494-41d8-ba3d-259bd7771890"/>
    <ds:schemaRef ds:uri="http://schemas.microsoft.com/sharepoint/v3/fields"/>
    <ds:schemaRef ds:uri="http://schemas.microsoft.com/office/infopath/2007/PartnerControls"/>
    <ds:schemaRef ds:uri="http://schemas.openxmlformats.org/package/2006/metadata/core-properties"/>
    <ds:schemaRef ds:uri="08927195-b699-4be0-9ee2-6c66dc215b5a"/>
    <ds:schemaRef ds:uri="http://schemas.microsoft.com/office/2006/metadata/propertie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1569</Words>
  <Characters>8944</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2024-10-11T18:13:00Z</dcterms:created>
  <dcterms:modified xsi:type="dcterms:W3CDTF">2024-10-11T18:13:00Z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