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433F37">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433F37">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433F37">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433F37">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433F37">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433F37"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13834"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2755E32" w:rsidR="00377580" w:rsidRPr="00080A71" w:rsidRDefault="00A13834" w:rsidP="005F6927">
                <w:pPr>
                  <w:tabs>
                    <w:tab w:val="left" w:pos="426"/>
                  </w:tabs>
                  <w:rPr>
                    <w:bCs/>
                    <w:lang w:val="en-IE" w:eastAsia="en-GB"/>
                  </w:rPr>
                </w:pPr>
                <w:r>
                  <w:rPr>
                    <w:bCs/>
                    <w:lang w:val="fr-BE" w:eastAsia="en-GB"/>
                  </w:rPr>
                  <w:t>DEFIS C2</w:t>
                </w:r>
              </w:p>
            </w:tc>
          </w:sdtContent>
        </w:sdt>
      </w:tr>
      <w:tr w:rsidR="00377580" w:rsidRPr="00A13834"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7C703A39" w:rsidR="00377580" w:rsidRPr="00080A71" w:rsidRDefault="00A13834" w:rsidP="005F6927">
                <w:pPr>
                  <w:tabs>
                    <w:tab w:val="left" w:pos="426"/>
                  </w:tabs>
                  <w:rPr>
                    <w:bCs/>
                    <w:lang w:val="en-IE" w:eastAsia="en-GB"/>
                  </w:rPr>
                </w:pPr>
                <w:r w:rsidRPr="00A13834">
                  <w:rPr>
                    <w:bCs/>
                    <w:lang w:val="fr-BE" w:eastAsia="en-GB"/>
                  </w:rPr>
                  <w:t>380771</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3652926F" w:rsidR="00377580" w:rsidRPr="00433F37" w:rsidRDefault="00A13834" w:rsidP="005F6927">
                <w:pPr>
                  <w:tabs>
                    <w:tab w:val="left" w:pos="426"/>
                  </w:tabs>
                  <w:rPr>
                    <w:bCs/>
                    <w:lang w:val="pt-PT" w:eastAsia="en-GB"/>
                  </w:rPr>
                </w:pPr>
                <w:r>
                  <w:rPr>
                    <w:bCs/>
                    <w:lang w:val="fr-BE" w:eastAsia="en-GB"/>
                  </w:rPr>
                  <w:t xml:space="preserve">Javier </w:t>
                </w:r>
                <w:r w:rsidRPr="00433F37">
                  <w:rPr>
                    <w:sz w:val="22"/>
                    <w:szCs w:val="22"/>
                    <w:lang w:val="pt-PT"/>
                  </w:rPr>
                  <w:t xml:space="preserve">PEREZ BARTOLOME </w:t>
                </w:r>
              </w:p>
            </w:sdtContent>
          </w:sdt>
          <w:p w14:paraId="32DD8032" w14:textId="7B07AE0E" w:rsidR="00377580" w:rsidRPr="001D3EEC" w:rsidRDefault="00433F37"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A13834">
                  <w:rPr>
                    <w:bCs/>
                    <w:lang w:val="fr-BE" w:eastAsia="en-GB"/>
                  </w:rPr>
                  <w:t>1er</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pt-PT"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A13834" w:rsidRPr="00433F37">
                      <w:rPr>
                        <w:bCs/>
                        <w:lang w:val="pt-PT" w:eastAsia="en-GB"/>
                      </w:rPr>
                      <w:t>2025</w:t>
                    </w:r>
                  </w:sdtContent>
                </w:sdt>
              </w:sdtContent>
            </w:sdt>
            <w:r w:rsidR="00377580" w:rsidRPr="001D3EEC">
              <w:rPr>
                <w:bCs/>
                <w:lang w:val="fr-BE" w:eastAsia="en-GB"/>
              </w:rPr>
              <w:t xml:space="preserve"> </w:t>
            </w:r>
          </w:p>
          <w:p w14:paraId="768BBE26" w14:textId="686DD2F4" w:rsidR="00377580" w:rsidRPr="001D3EEC" w:rsidRDefault="00433F37"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A13834">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A13834">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4F602B3"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A57589F"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433F37"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433F37"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433F37"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27A0089"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A13834"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E63AE4D"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6D8E0B1B"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1-25T00:00:00Z">
                  <w:dateFormat w:val="dd-MM-yyyy"/>
                  <w:lid w:val="fr-BE"/>
                  <w:storeMappedDataAs w:val="dateTime"/>
                  <w:calendar w:val="gregorian"/>
                </w:date>
              </w:sdtPr>
              <w:sdtEndPr/>
              <w:sdtContent>
                <w:r w:rsidR="00433F37">
                  <w:rPr>
                    <w:bCs/>
                    <w:lang w:val="fr-BE" w:eastAsia="en-GB"/>
                  </w:rPr>
                  <w:t>25-11-2024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ADE928A" w14:textId="77777777" w:rsidR="00A13834" w:rsidRPr="00A13834" w:rsidRDefault="00A13834" w:rsidP="00A13834">
          <w:pPr>
            <w:rPr>
              <w:lang w:val="fr-BE" w:eastAsia="en-GB"/>
            </w:rPr>
          </w:pPr>
          <w:r w:rsidRPr="00A13834">
            <w:rPr>
              <w:lang w:val="fr-BE" w:eastAsia="en-GB"/>
            </w:rPr>
            <w:t xml:space="preserve">L’unité C2 est chargée de la gestion des programmes GNSS (Galileo et EGNOS) et est l’interface entre les parties prenantes des programmes GNSS traitant de la mise en œuvre, de l’exploitation et de la sécurité de Galileo et d’EGNOS. Il traite donc de l’Agence spatiale européenne (ESA) et de l’Agence de l’UE pour le programme spatial (EUSPA), des administrations nationales et de leurs agences spatiales, des services de la Commission et des agences de l’UE. </w:t>
          </w:r>
        </w:p>
        <w:p w14:paraId="57A894AB" w14:textId="77777777" w:rsidR="00A13834" w:rsidRPr="00A13834" w:rsidRDefault="00A13834" w:rsidP="00A13834">
          <w:pPr>
            <w:rPr>
              <w:lang w:val="fr-BE" w:eastAsia="en-GB"/>
            </w:rPr>
          </w:pPr>
          <w:r w:rsidRPr="00A13834">
            <w:rPr>
              <w:lang w:val="fr-BE" w:eastAsia="en-GB"/>
            </w:rPr>
            <w:lastRenderedPageBreak/>
            <w:t xml:space="preserve"> </w:t>
          </w:r>
        </w:p>
        <w:p w14:paraId="795C4A78" w14:textId="77777777" w:rsidR="00A13834" w:rsidRPr="00A13834" w:rsidRDefault="00A13834" w:rsidP="00A13834">
          <w:pPr>
            <w:rPr>
              <w:lang w:val="fr-BE" w:eastAsia="en-GB"/>
            </w:rPr>
          </w:pPr>
          <w:r w:rsidRPr="00A13834">
            <w:rPr>
              <w:lang w:val="fr-BE" w:eastAsia="en-GB"/>
            </w:rPr>
            <w:t>L’unité C2 est une équipe de spécialistes ayant une formation technique, en ingénierie de sécurité et d’experts politiques qui travaillent en étroite collaboration avec leurs homologues de l’ESA et de la GSA sur des questions liées au suivi de la gestion technique, aux services, à l’exploitation et à la sécurité des programmes.</w:t>
          </w:r>
        </w:p>
        <w:p w14:paraId="18140A21" w14:textId="64A1E271" w:rsidR="001A0074" w:rsidRPr="00080A71" w:rsidRDefault="00433F37"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72FE03B7" w14:textId="77777777" w:rsidR="00A13834" w:rsidRPr="00A13834" w:rsidRDefault="00A13834" w:rsidP="00A13834">
          <w:pPr>
            <w:rPr>
              <w:lang w:val="fr-BE" w:eastAsia="en-GB"/>
            </w:rPr>
          </w:pPr>
          <w:r w:rsidRPr="00A13834">
            <w:rPr>
              <w:lang w:val="fr-BE" w:eastAsia="en-GB"/>
            </w:rPr>
            <w:t xml:space="preserve">Nous proposons un poste de responsable </w:t>
          </w:r>
          <w:proofErr w:type="gramStart"/>
          <w:r w:rsidRPr="00A13834">
            <w:rPr>
              <w:lang w:val="fr-BE" w:eastAsia="en-GB"/>
            </w:rPr>
            <w:t>du PRS</w:t>
          </w:r>
          <w:proofErr w:type="gramEnd"/>
          <w:r w:rsidRPr="00A13834">
            <w:rPr>
              <w:lang w:val="fr-BE" w:eastAsia="en-GB"/>
            </w:rPr>
            <w:t xml:space="preserve"> et de la sécurité dans le secteur PRS et sécurité. La mission du secteur PRS et de la sécurité est de coordonner la définition et la mise en œuvre </w:t>
          </w:r>
          <w:proofErr w:type="gramStart"/>
          <w:r w:rsidRPr="00A13834">
            <w:rPr>
              <w:lang w:val="fr-BE" w:eastAsia="en-GB"/>
            </w:rPr>
            <w:t>du PRS</w:t>
          </w:r>
          <w:proofErr w:type="gramEnd"/>
          <w:r w:rsidRPr="00A13834">
            <w:rPr>
              <w:lang w:val="fr-BE" w:eastAsia="en-GB"/>
            </w:rPr>
            <w:t>, la définition de nouveaux services gouvernementaux et de planifier et de gérer les actions gouvernementales de recherche et développement relatives au PRS ou à la sécurité du système.</w:t>
          </w:r>
        </w:p>
        <w:p w14:paraId="15E17779" w14:textId="77777777" w:rsidR="00A13834" w:rsidRPr="00A13834" w:rsidRDefault="00A13834" w:rsidP="00A13834">
          <w:pPr>
            <w:rPr>
              <w:lang w:val="fr-BE" w:eastAsia="en-GB"/>
            </w:rPr>
          </w:pPr>
        </w:p>
        <w:p w14:paraId="05B11754" w14:textId="77777777" w:rsidR="00A13834" w:rsidRPr="00A13834" w:rsidRDefault="00A13834" w:rsidP="00A13834">
          <w:pPr>
            <w:rPr>
              <w:lang w:val="fr-BE" w:eastAsia="en-GB"/>
            </w:rPr>
          </w:pPr>
          <w:r w:rsidRPr="00A13834">
            <w:rPr>
              <w:lang w:val="fr-BE" w:eastAsia="en-GB"/>
            </w:rPr>
            <w:t xml:space="preserve">Au sein du secteur PRS et sécurité, le responsable du PRS et de la sécurité est chargé des activités </w:t>
          </w:r>
          <w:proofErr w:type="gramStart"/>
          <w:r w:rsidRPr="00A13834">
            <w:rPr>
              <w:lang w:val="fr-BE" w:eastAsia="en-GB"/>
            </w:rPr>
            <w:t>suivantes:</w:t>
          </w:r>
          <w:proofErr w:type="gramEnd"/>
        </w:p>
        <w:p w14:paraId="75D8B818" w14:textId="77777777" w:rsidR="00A13834" w:rsidRPr="00A13834" w:rsidRDefault="00A13834" w:rsidP="00A13834">
          <w:pPr>
            <w:rPr>
              <w:lang w:val="fr-BE" w:eastAsia="en-GB"/>
            </w:rPr>
          </w:pPr>
        </w:p>
        <w:p w14:paraId="161B74F8" w14:textId="77777777" w:rsidR="00A13834" w:rsidRPr="00A13834" w:rsidRDefault="00A13834" w:rsidP="00A13834">
          <w:pPr>
            <w:rPr>
              <w:lang w:val="fr-BE" w:eastAsia="en-GB"/>
            </w:rPr>
          </w:pPr>
          <w:r w:rsidRPr="00A13834">
            <w:rPr>
              <w:lang w:val="fr-BE" w:eastAsia="en-GB"/>
            </w:rPr>
            <w:t>1.</w:t>
          </w:r>
          <w:r w:rsidRPr="00A13834">
            <w:rPr>
              <w:lang w:val="fr-BE" w:eastAsia="en-GB"/>
            </w:rPr>
            <w:tab/>
            <w:t>Établir et maintenir la base de référence de sécurité du programme Galileo par l’intermédiaire de Galileo</w:t>
          </w:r>
        </w:p>
        <w:p w14:paraId="36631880" w14:textId="77777777" w:rsidR="00A13834" w:rsidRPr="00A13834" w:rsidRDefault="00A13834" w:rsidP="00A13834">
          <w:pPr>
            <w:rPr>
              <w:lang w:val="fr-BE" w:eastAsia="en-GB"/>
            </w:rPr>
          </w:pPr>
          <w:r w:rsidRPr="00A13834">
            <w:rPr>
              <w:lang w:val="fr-BE" w:eastAsia="en-GB"/>
            </w:rPr>
            <w:t></w:t>
          </w:r>
          <w:r w:rsidRPr="00A13834">
            <w:rPr>
              <w:lang w:val="fr-BE" w:eastAsia="en-GB"/>
            </w:rPr>
            <w:tab/>
            <w:t>Définition de la mission PRS</w:t>
          </w:r>
        </w:p>
        <w:p w14:paraId="12AFA824" w14:textId="77777777" w:rsidR="00A13834" w:rsidRPr="00A13834" w:rsidRDefault="00A13834" w:rsidP="00A13834">
          <w:pPr>
            <w:rPr>
              <w:lang w:val="fr-BE" w:eastAsia="en-GB"/>
            </w:rPr>
          </w:pPr>
          <w:r w:rsidRPr="00A13834">
            <w:rPr>
              <w:lang w:val="fr-BE" w:eastAsia="en-GB"/>
            </w:rPr>
            <w:t></w:t>
          </w:r>
          <w:r w:rsidRPr="00A13834">
            <w:rPr>
              <w:lang w:val="fr-BE" w:eastAsia="en-GB"/>
            </w:rPr>
            <w:tab/>
            <w:t>Établissement de la base de référence en matière de sécurité, contenant le SSRS, le guide de classification de sécurité, les exigences en matière de cybersécurité et les exigences cryptographiques</w:t>
          </w:r>
        </w:p>
        <w:p w14:paraId="77D2250C" w14:textId="77777777" w:rsidR="00A13834" w:rsidRPr="00A13834" w:rsidRDefault="00A13834" w:rsidP="00A13834">
          <w:pPr>
            <w:rPr>
              <w:lang w:val="fr-BE" w:eastAsia="en-GB"/>
            </w:rPr>
          </w:pPr>
          <w:r w:rsidRPr="00A13834">
            <w:rPr>
              <w:lang w:val="fr-BE" w:eastAsia="en-GB"/>
            </w:rPr>
            <w:t></w:t>
          </w:r>
          <w:r w:rsidRPr="00A13834">
            <w:rPr>
              <w:lang w:val="fr-BE" w:eastAsia="en-GB"/>
            </w:rPr>
            <w:tab/>
            <w:t>Coordination avec l’ESA, l’EUSPA et les États membres par l’intermédiaire des groupes d’experts concernés</w:t>
          </w:r>
        </w:p>
        <w:p w14:paraId="53E4317F" w14:textId="77777777" w:rsidR="00A13834" w:rsidRPr="00A13834" w:rsidRDefault="00A13834" w:rsidP="00A13834">
          <w:pPr>
            <w:rPr>
              <w:lang w:val="fr-BE" w:eastAsia="en-GB"/>
            </w:rPr>
          </w:pPr>
          <w:r w:rsidRPr="00A13834">
            <w:rPr>
              <w:lang w:val="fr-BE" w:eastAsia="en-GB"/>
            </w:rPr>
            <w:t>2.</w:t>
          </w:r>
          <w:r w:rsidRPr="00A13834">
            <w:rPr>
              <w:lang w:val="fr-BE" w:eastAsia="en-GB"/>
            </w:rPr>
            <w:tab/>
            <w:t>Assurer l’exécution de la décision 1104 par</w:t>
          </w:r>
        </w:p>
        <w:p w14:paraId="744BC3F4" w14:textId="77777777" w:rsidR="00A13834" w:rsidRPr="00A13834" w:rsidRDefault="00A13834" w:rsidP="00A13834">
          <w:pPr>
            <w:rPr>
              <w:lang w:val="fr-BE" w:eastAsia="en-GB"/>
            </w:rPr>
          </w:pPr>
          <w:r w:rsidRPr="00A13834">
            <w:rPr>
              <w:lang w:val="fr-BE" w:eastAsia="en-GB"/>
            </w:rPr>
            <w:t></w:t>
          </w:r>
          <w:r w:rsidRPr="00A13834">
            <w:rPr>
              <w:lang w:val="fr-BE" w:eastAsia="en-GB"/>
            </w:rPr>
            <w:tab/>
            <w:t>Mise en œuvre du cadre de la CCPF (convention-cadre de partenariat financier)</w:t>
          </w:r>
        </w:p>
        <w:p w14:paraId="19A95A49" w14:textId="77777777" w:rsidR="00A13834" w:rsidRPr="00A13834" w:rsidRDefault="00A13834" w:rsidP="00A13834">
          <w:pPr>
            <w:rPr>
              <w:lang w:val="fr-BE" w:eastAsia="en-GB"/>
            </w:rPr>
          </w:pPr>
          <w:r w:rsidRPr="00A13834">
            <w:rPr>
              <w:lang w:val="fr-BE" w:eastAsia="en-GB"/>
            </w:rPr>
            <w:t></w:t>
          </w:r>
          <w:r w:rsidRPr="00A13834">
            <w:rPr>
              <w:lang w:val="fr-BE" w:eastAsia="en-GB"/>
            </w:rPr>
            <w:tab/>
            <w:t>Maintenance de la base de données de la Commission sur les entités autorisées du BRS (conseil d’homologation de sécurité).</w:t>
          </w:r>
        </w:p>
        <w:p w14:paraId="10F952B4" w14:textId="77777777" w:rsidR="00A13834" w:rsidRPr="00A13834" w:rsidRDefault="00A13834" w:rsidP="00A13834">
          <w:pPr>
            <w:rPr>
              <w:lang w:val="fr-BE" w:eastAsia="en-GB"/>
            </w:rPr>
          </w:pPr>
          <w:r w:rsidRPr="00A13834">
            <w:rPr>
              <w:lang w:val="fr-BE" w:eastAsia="en-GB"/>
            </w:rPr>
            <w:t></w:t>
          </w:r>
          <w:r w:rsidRPr="00A13834">
            <w:rPr>
              <w:lang w:val="fr-BE" w:eastAsia="en-GB"/>
            </w:rPr>
            <w:tab/>
            <w:t>Garantir l’établissement de rapports prévus dans le cadre juridique</w:t>
          </w:r>
        </w:p>
        <w:p w14:paraId="47E66F00" w14:textId="77777777" w:rsidR="00A13834" w:rsidRPr="00A13834" w:rsidRDefault="00A13834" w:rsidP="00A13834">
          <w:pPr>
            <w:rPr>
              <w:lang w:val="fr-BE" w:eastAsia="en-GB"/>
            </w:rPr>
          </w:pPr>
          <w:r w:rsidRPr="00A13834">
            <w:rPr>
              <w:lang w:val="fr-BE" w:eastAsia="en-GB"/>
            </w:rPr>
            <w:t>3.</w:t>
          </w:r>
          <w:r w:rsidRPr="00A13834">
            <w:rPr>
              <w:lang w:val="fr-BE" w:eastAsia="en-GB"/>
            </w:rPr>
            <w:tab/>
            <w:t>Superviser la mise en œuvre de la mission PRS et de la base de référence en matière de sécurité</w:t>
          </w:r>
        </w:p>
        <w:p w14:paraId="6E3D21E6" w14:textId="77777777" w:rsidR="00A13834" w:rsidRPr="00A13834" w:rsidRDefault="00A13834" w:rsidP="00A13834">
          <w:pPr>
            <w:rPr>
              <w:lang w:val="fr-BE" w:eastAsia="en-GB"/>
            </w:rPr>
          </w:pPr>
          <w:r w:rsidRPr="00A13834">
            <w:rPr>
              <w:lang w:val="fr-BE" w:eastAsia="en-GB"/>
            </w:rPr>
            <w:t></w:t>
          </w:r>
          <w:r w:rsidRPr="00A13834">
            <w:rPr>
              <w:lang w:val="fr-BE" w:eastAsia="en-GB"/>
            </w:rPr>
            <w:tab/>
            <w:t>Participation aux comités d’évaluation des offres en matière de marchés publics PRS et de sécurité</w:t>
          </w:r>
        </w:p>
        <w:p w14:paraId="3A4A58A9" w14:textId="77777777" w:rsidR="00A13834" w:rsidRPr="00A13834" w:rsidRDefault="00A13834" w:rsidP="00A13834">
          <w:pPr>
            <w:rPr>
              <w:lang w:val="fr-BE" w:eastAsia="en-GB"/>
            </w:rPr>
          </w:pPr>
          <w:r w:rsidRPr="00A13834">
            <w:rPr>
              <w:lang w:val="fr-BE" w:eastAsia="en-GB"/>
            </w:rPr>
            <w:lastRenderedPageBreak/>
            <w:t></w:t>
          </w:r>
          <w:r w:rsidRPr="00A13834">
            <w:rPr>
              <w:lang w:val="fr-BE" w:eastAsia="en-GB"/>
            </w:rPr>
            <w:tab/>
            <w:t>Participation aux examens organisés par l’ESA et l’EUPSA en ce qui concerne la conception et les opérations du PRS et de la sécurité</w:t>
          </w:r>
        </w:p>
        <w:p w14:paraId="513818A5" w14:textId="77777777" w:rsidR="00A13834" w:rsidRPr="00A13834" w:rsidRDefault="00A13834" w:rsidP="00A13834">
          <w:pPr>
            <w:rPr>
              <w:lang w:val="fr-BE" w:eastAsia="en-GB"/>
            </w:rPr>
          </w:pPr>
          <w:r w:rsidRPr="00A13834">
            <w:rPr>
              <w:lang w:val="fr-BE" w:eastAsia="en-GB"/>
            </w:rPr>
            <w:t></w:t>
          </w:r>
          <w:r w:rsidRPr="00A13834">
            <w:rPr>
              <w:lang w:val="fr-BE" w:eastAsia="en-GB"/>
            </w:rPr>
            <w:tab/>
            <w:t xml:space="preserve">Assurer la mise en œuvre rapide </w:t>
          </w:r>
          <w:proofErr w:type="gramStart"/>
          <w:r w:rsidRPr="00A13834">
            <w:rPr>
              <w:lang w:val="fr-BE" w:eastAsia="en-GB"/>
            </w:rPr>
            <w:t>du PRS</w:t>
          </w:r>
          <w:proofErr w:type="gramEnd"/>
          <w:r w:rsidRPr="00A13834">
            <w:rPr>
              <w:lang w:val="fr-BE" w:eastAsia="en-GB"/>
            </w:rPr>
            <w:t xml:space="preserve"> de l’ESA et de l’EUSPA pour le L-PRS et l’A-PRS</w:t>
          </w:r>
        </w:p>
        <w:p w14:paraId="70165631" w14:textId="77777777" w:rsidR="00A13834" w:rsidRPr="00A13834" w:rsidRDefault="00A13834" w:rsidP="00A13834">
          <w:pPr>
            <w:rPr>
              <w:lang w:val="fr-BE" w:eastAsia="en-GB"/>
            </w:rPr>
          </w:pPr>
          <w:r w:rsidRPr="00A13834">
            <w:rPr>
              <w:lang w:val="fr-BE" w:eastAsia="en-GB"/>
            </w:rPr>
            <w:t>4.</w:t>
          </w:r>
          <w:r w:rsidRPr="00A13834">
            <w:rPr>
              <w:lang w:val="fr-BE" w:eastAsia="en-GB"/>
            </w:rPr>
            <w:tab/>
            <w:t>Soutenir l’interface avec le conseil d’homologation de sécurité (BRS) et la coordination entre les programmes afin de garantir la disponibilité en temps utile des décisions du conseil d’homologation de sécurité pour les composantes des programmes spatiaux Galileo et EGNOS compatibles avec les feuilles de route pour la mise en œuvre.</w:t>
          </w:r>
        </w:p>
        <w:p w14:paraId="23F5975B" w14:textId="77777777" w:rsidR="00A13834" w:rsidRPr="00A13834" w:rsidRDefault="00A13834" w:rsidP="00A13834">
          <w:pPr>
            <w:rPr>
              <w:lang w:val="fr-BE" w:eastAsia="en-GB"/>
            </w:rPr>
          </w:pPr>
          <w:r w:rsidRPr="00A13834">
            <w:rPr>
              <w:lang w:val="fr-BE" w:eastAsia="en-GB"/>
            </w:rPr>
            <w:t>5.</w:t>
          </w:r>
          <w:r w:rsidRPr="00A13834">
            <w:rPr>
              <w:lang w:val="fr-BE" w:eastAsia="en-GB"/>
            </w:rPr>
            <w:tab/>
            <w:t>Assurer les rôles de la Commission en matière de sécurité établis dans les plans de gestion des composantes des programmes spatiaux Galileo et EGNOS et dans les plans de gestion de la sécurité, y compris pour assurer la maintenance de la base de référence de sécurité Galileo et EGNOS, la gestion de la cybersécurité et la gestion des crises.</w:t>
          </w:r>
        </w:p>
        <w:p w14:paraId="1FBC33C9" w14:textId="77777777" w:rsidR="00A13834" w:rsidRPr="00A13834" w:rsidRDefault="00A13834" w:rsidP="00A13834">
          <w:pPr>
            <w:rPr>
              <w:lang w:val="fr-BE" w:eastAsia="en-GB"/>
            </w:rPr>
          </w:pPr>
          <w:r w:rsidRPr="00A13834">
            <w:rPr>
              <w:lang w:val="fr-BE" w:eastAsia="en-GB"/>
            </w:rPr>
            <w:t>6.</w:t>
          </w:r>
          <w:r w:rsidRPr="00A13834">
            <w:rPr>
              <w:lang w:val="fr-BE" w:eastAsia="en-GB"/>
            </w:rPr>
            <w:tab/>
            <w:t>Contribuer à la définition et à la mise en œuvre du cadre de sécurité nécessaire pour assurer les responsabilités de la Commission en ce qui concerne la gestion de la sécurité des composantes du programme spatial GALILEO et EGNOS.</w:t>
          </w:r>
        </w:p>
        <w:p w14:paraId="121B6291" w14:textId="77777777" w:rsidR="00A13834" w:rsidRPr="00A13834" w:rsidRDefault="00A13834" w:rsidP="00A13834">
          <w:pPr>
            <w:rPr>
              <w:lang w:val="fr-BE" w:eastAsia="en-GB"/>
            </w:rPr>
          </w:pPr>
          <w:r w:rsidRPr="00A13834">
            <w:rPr>
              <w:lang w:val="fr-BE" w:eastAsia="en-GB"/>
            </w:rPr>
            <w:t>7.</w:t>
          </w:r>
          <w:r w:rsidRPr="00A13834">
            <w:rPr>
              <w:lang w:val="fr-BE" w:eastAsia="en-GB"/>
            </w:rPr>
            <w:tab/>
            <w:t>Assurer la cohérence des aspects liés à la sécurité de toutes les composantes du programme spatial de l’UE</w:t>
          </w:r>
        </w:p>
        <w:p w14:paraId="3B1D2FA2" w14:textId="3FA0FF29" w:rsidR="001A0074" w:rsidRPr="00A13834" w:rsidRDefault="00A13834" w:rsidP="00A13834">
          <w:pPr>
            <w:rPr>
              <w:lang w:val="fr-BE" w:eastAsia="en-GB"/>
            </w:rPr>
          </w:pPr>
          <w:r w:rsidRPr="00A13834">
            <w:rPr>
              <w:lang w:val="fr-BE" w:eastAsia="en-GB"/>
            </w:rPr>
            <w:t>8.</w:t>
          </w:r>
          <w:r w:rsidRPr="00A13834">
            <w:rPr>
              <w:lang w:val="fr-BE" w:eastAsia="en-GB"/>
            </w:rPr>
            <w:tab/>
            <w:t>Soutenir toute autre activité de l’unité C2 si nécessaire</w:t>
          </w:r>
        </w:p>
      </w:sdtContent>
    </w:sdt>
    <w:p w14:paraId="3D69C09B" w14:textId="77777777" w:rsidR="00301CA3" w:rsidRPr="00A13834"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b w:val="0"/>
          <w:sz w:val="24"/>
          <w:lang w:val="fr-BE" w:eastAsia="en-GB"/>
        </w:rPr>
        <w:id w:val="-689827953"/>
        <w:placeholder>
          <w:docPart w:val="C681F6FA0FB94712B2C889AACA29AC9D"/>
        </w:placeholder>
      </w:sdtPr>
      <w:sdtEndPr/>
      <w:sdtContent>
        <w:p w14:paraId="7A415F3C" w14:textId="34E00B3D" w:rsidR="00A13834" w:rsidRDefault="00A13834" w:rsidP="00A13834">
          <w:pPr>
            <w:pStyle w:val="P68B1DB1-Normal3"/>
            <w:tabs>
              <w:tab w:val="left" w:pos="317"/>
            </w:tabs>
            <w:spacing w:after="0" w:line="240" w:lineRule="auto"/>
            <w:ind w:right="1317"/>
            <w:jc w:val="both"/>
          </w:pPr>
          <w:r>
            <w:rPr>
              <w:u w:val="single"/>
            </w:rPr>
            <w:t>Critères de sélection</w:t>
          </w:r>
        </w:p>
        <w:p w14:paraId="38EF85F2" w14:textId="77777777" w:rsidR="00A13834" w:rsidRDefault="00A13834" w:rsidP="00A13834">
          <w:pPr>
            <w:spacing w:after="0"/>
          </w:pPr>
        </w:p>
        <w:p w14:paraId="57F26636" w14:textId="77777777" w:rsidR="00A13834" w:rsidRDefault="00A13834" w:rsidP="00A13834">
          <w:pPr>
            <w:pStyle w:val="P68B1DB1-Normal4"/>
            <w:tabs>
              <w:tab w:val="left" w:pos="709"/>
            </w:tabs>
            <w:spacing w:after="0" w:line="240" w:lineRule="auto"/>
            <w:ind w:right="60"/>
            <w:jc w:val="both"/>
          </w:pPr>
          <w:r>
            <w:rPr>
              <w:u w:val="single"/>
            </w:rPr>
            <w:t>Diplôme</w:t>
          </w:r>
          <w:r>
            <w:t xml:space="preserve"> </w:t>
          </w:r>
        </w:p>
        <w:p w14:paraId="09480288" w14:textId="77777777" w:rsidR="00A13834" w:rsidRDefault="00A13834" w:rsidP="00A13834">
          <w:pPr>
            <w:pStyle w:val="P68B1DB1-Normal4"/>
            <w:tabs>
              <w:tab w:val="left" w:pos="709"/>
            </w:tabs>
            <w:spacing w:after="0" w:line="240" w:lineRule="auto"/>
            <w:ind w:left="709" w:right="1317"/>
            <w:jc w:val="both"/>
          </w:pPr>
          <w:r>
            <w:t xml:space="preserve">— diplôme universitaire </w:t>
          </w:r>
          <w:proofErr w:type="gramStart"/>
          <w:r>
            <w:t>ou</w:t>
          </w:r>
          <w:proofErr w:type="gramEnd"/>
          <w:r>
            <w:t xml:space="preserve"> </w:t>
          </w:r>
        </w:p>
        <w:p w14:paraId="2A95D7E0" w14:textId="77777777" w:rsidR="00A13834" w:rsidRDefault="00A13834" w:rsidP="00A13834">
          <w:pPr>
            <w:pStyle w:val="P68B1DB1-Normal4"/>
            <w:tabs>
              <w:tab w:val="left" w:pos="709"/>
            </w:tabs>
            <w:spacing w:after="0" w:line="240" w:lineRule="auto"/>
            <w:ind w:left="709" w:right="1317"/>
            <w:jc w:val="both"/>
          </w:pPr>
          <w:proofErr w:type="gramStart"/>
          <w:r>
            <w:t>formation</w:t>
          </w:r>
          <w:proofErr w:type="gramEnd"/>
          <w:r>
            <w:t xml:space="preserve"> professionnelle ou expérience professionnelle de niveau équivalent</w:t>
          </w:r>
        </w:p>
        <w:p w14:paraId="51877641" w14:textId="77777777" w:rsidR="00A13834" w:rsidRDefault="00A13834" w:rsidP="00A13834">
          <w:pPr>
            <w:tabs>
              <w:tab w:val="left" w:pos="709"/>
            </w:tabs>
            <w:spacing w:after="0"/>
            <w:ind w:left="709" w:right="1317"/>
          </w:pPr>
        </w:p>
        <w:p w14:paraId="54D07933" w14:textId="77777777" w:rsidR="00A13834" w:rsidRDefault="00A13834" w:rsidP="00A13834">
          <w:pPr>
            <w:pStyle w:val="P68B1DB1-Normal4"/>
            <w:tabs>
              <w:tab w:val="left" w:pos="709"/>
            </w:tabs>
            <w:spacing w:after="0" w:line="240" w:lineRule="auto"/>
            <w:ind w:left="709" w:right="60"/>
            <w:jc w:val="both"/>
          </w:pPr>
          <w:r>
            <w:t xml:space="preserve">  </w:t>
          </w:r>
          <w:proofErr w:type="gramStart"/>
          <w:r>
            <w:t>dans</w:t>
          </w:r>
          <w:proofErr w:type="gramEnd"/>
          <w:r>
            <w:t xml:space="preserve"> le (s) domaine (s): aérospatiale, télécommunications ou ingénierie électronique, physique ou mathématique</w:t>
          </w:r>
        </w:p>
        <w:p w14:paraId="5CC66E58" w14:textId="77777777" w:rsidR="00A13834" w:rsidRDefault="00A13834" w:rsidP="00A13834">
          <w:pPr>
            <w:tabs>
              <w:tab w:val="left" w:pos="709"/>
            </w:tabs>
            <w:spacing w:after="0"/>
            <w:ind w:left="709" w:right="60"/>
          </w:pPr>
        </w:p>
        <w:p w14:paraId="4384177C" w14:textId="77777777" w:rsidR="00A13834" w:rsidRDefault="00A13834" w:rsidP="00A13834">
          <w:pPr>
            <w:tabs>
              <w:tab w:val="left" w:pos="709"/>
            </w:tabs>
            <w:spacing w:after="0"/>
            <w:ind w:left="709" w:right="60"/>
          </w:pPr>
        </w:p>
        <w:p w14:paraId="3D85D101" w14:textId="77777777" w:rsidR="00A13834" w:rsidRDefault="00A13834" w:rsidP="00A13834">
          <w:pPr>
            <w:pStyle w:val="P68B1DB1-Normal7"/>
            <w:tabs>
              <w:tab w:val="left" w:pos="709"/>
            </w:tabs>
            <w:spacing w:after="0" w:line="240" w:lineRule="auto"/>
            <w:ind w:right="60"/>
            <w:jc w:val="both"/>
          </w:pPr>
          <w:r>
            <w:t>Expérience professionnelle</w:t>
          </w:r>
        </w:p>
        <w:p w14:paraId="51AFEEDA" w14:textId="77777777" w:rsidR="00A13834" w:rsidRDefault="00A13834" w:rsidP="00A13834">
          <w:pPr>
            <w:tabs>
              <w:tab w:val="left" w:pos="709"/>
            </w:tabs>
            <w:spacing w:after="0"/>
            <w:ind w:left="709" w:right="60"/>
            <w:rPr>
              <w:u w:val="single"/>
            </w:rPr>
          </w:pPr>
        </w:p>
        <w:p w14:paraId="656AF2B7" w14:textId="77777777" w:rsidR="00A13834" w:rsidRPr="00FA3E5F" w:rsidRDefault="00A13834" w:rsidP="00A13834">
          <w:pPr>
            <w:pStyle w:val="ListParagraph"/>
            <w:numPr>
              <w:ilvl w:val="0"/>
              <w:numId w:val="26"/>
            </w:numPr>
            <w:spacing w:after="160" w:line="259" w:lineRule="auto"/>
            <w:rPr>
              <w:rFonts w:ascii="Times New Roman" w:hAnsi="Times New Roman" w:cs="Times New Roman"/>
            </w:rPr>
          </w:pPr>
          <w:r w:rsidRPr="00FA3E5F">
            <w:rPr>
              <w:rFonts w:ascii="Times New Roman" w:hAnsi="Times New Roman" w:cs="Times New Roman"/>
            </w:rPr>
            <w:t>Expérience dans la gestion de programmes spatiaux/de défense</w:t>
          </w:r>
        </w:p>
        <w:p w14:paraId="52EE484C" w14:textId="77777777" w:rsidR="00A13834" w:rsidRPr="00FA3E5F" w:rsidRDefault="00A13834" w:rsidP="00A13834">
          <w:pPr>
            <w:pStyle w:val="ListParagraph"/>
            <w:numPr>
              <w:ilvl w:val="0"/>
              <w:numId w:val="26"/>
            </w:numPr>
            <w:spacing w:after="160" w:line="259" w:lineRule="auto"/>
            <w:rPr>
              <w:rFonts w:ascii="Times New Roman" w:hAnsi="Times New Roman" w:cs="Times New Roman"/>
            </w:rPr>
          </w:pPr>
          <w:r w:rsidRPr="00FA3E5F">
            <w:rPr>
              <w:rFonts w:ascii="Times New Roman" w:hAnsi="Times New Roman" w:cs="Times New Roman"/>
            </w:rPr>
            <w:t>Expérience de la gestion de la sécurité dans le domaine de la défense/des programmes spatiaux</w:t>
          </w:r>
        </w:p>
        <w:p w14:paraId="1A586214" w14:textId="77777777" w:rsidR="00A13834" w:rsidRPr="00FA3E5F" w:rsidRDefault="00A13834" w:rsidP="00A13834">
          <w:pPr>
            <w:pStyle w:val="ListParagraph"/>
            <w:numPr>
              <w:ilvl w:val="0"/>
              <w:numId w:val="26"/>
            </w:numPr>
            <w:spacing w:after="160" w:line="259" w:lineRule="auto"/>
            <w:rPr>
              <w:rFonts w:ascii="Times New Roman" w:hAnsi="Times New Roman" w:cs="Times New Roman"/>
            </w:rPr>
          </w:pPr>
          <w:r w:rsidRPr="00FA3E5F">
            <w:rPr>
              <w:rFonts w:ascii="Times New Roman" w:hAnsi="Times New Roman" w:cs="Times New Roman"/>
            </w:rPr>
            <w:t>Connaissance du programme spatial de l’UE, de sa réglementation, des parties prenantes et de la gouvernance</w:t>
          </w:r>
        </w:p>
        <w:p w14:paraId="4BB76445" w14:textId="77777777" w:rsidR="00A13834" w:rsidRPr="00FA3E5F" w:rsidRDefault="00A13834" w:rsidP="00A13834">
          <w:pPr>
            <w:pStyle w:val="ListParagraph"/>
            <w:numPr>
              <w:ilvl w:val="0"/>
              <w:numId w:val="26"/>
            </w:numPr>
            <w:spacing w:after="160" w:line="259" w:lineRule="auto"/>
            <w:rPr>
              <w:rFonts w:ascii="Times New Roman" w:hAnsi="Times New Roman" w:cs="Times New Roman"/>
            </w:rPr>
          </w:pPr>
          <w:r w:rsidRPr="00FA3E5F">
            <w:rPr>
              <w:rFonts w:ascii="Times New Roman" w:hAnsi="Times New Roman" w:cs="Times New Roman"/>
            </w:rPr>
            <w:t>Connaissance et expérience de la réglementation de l’UE en matière de sécurité, notamment en ce qui concerne le système d’évaluation et d’agrément des dispositifs cryptographiques</w:t>
          </w:r>
        </w:p>
        <w:p w14:paraId="558E7E16" w14:textId="77777777" w:rsidR="00A13834" w:rsidRPr="00FA3E5F" w:rsidRDefault="00A13834" w:rsidP="00A13834">
          <w:pPr>
            <w:pStyle w:val="ListParagraph"/>
            <w:numPr>
              <w:ilvl w:val="0"/>
              <w:numId w:val="26"/>
            </w:numPr>
            <w:spacing w:after="160" w:line="259" w:lineRule="auto"/>
            <w:rPr>
              <w:rFonts w:ascii="Times New Roman" w:hAnsi="Times New Roman" w:cs="Times New Roman"/>
            </w:rPr>
          </w:pPr>
          <w:r w:rsidRPr="00FA3E5F">
            <w:rPr>
              <w:rFonts w:ascii="Times New Roman" w:hAnsi="Times New Roman" w:cs="Times New Roman"/>
            </w:rPr>
            <w:t xml:space="preserve">Connaissance du cadre réglementaire du PRS (décision 1104, </w:t>
          </w:r>
          <w:proofErr w:type="gramStart"/>
          <w:r w:rsidRPr="00FA3E5F">
            <w:rPr>
              <w:rFonts w:ascii="Times New Roman" w:hAnsi="Times New Roman" w:cs="Times New Roman"/>
            </w:rPr>
            <w:t>CMS,...</w:t>
          </w:r>
          <w:proofErr w:type="gramEnd"/>
          <w:r w:rsidRPr="00FA3E5F">
            <w:rPr>
              <w:rFonts w:ascii="Times New Roman" w:hAnsi="Times New Roman" w:cs="Times New Roman"/>
            </w:rPr>
            <w:t>)</w:t>
          </w:r>
        </w:p>
        <w:p w14:paraId="5687F5B8" w14:textId="77777777" w:rsidR="00A13834" w:rsidRPr="00FA3E5F" w:rsidRDefault="00A13834" w:rsidP="00A13834">
          <w:pPr>
            <w:pStyle w:val="ListParagraph"/>
            <w:numPr>
              <w:ilvl w:val="0"/>
              <w:numId w:val="26"/>
            </w:numPr>
            <w:spacing w:after="160" w:line="259" w:lineRule="auto"/>
            <w:rPr>
              <w:rFonts w:ascii="Times New Roman" w:hAnsi="Times New Roman" w:cs="Times New Roman"/>
            </w:rPr>
          </w:pPr>
          <w:r w:rsidRPr="00FA3E5F">
            <w:rPr>
              <w:rFonts w:ascii="Times New Roman" w:hAnsi="Times New Roman" w:cs="Times New Roman"/>
            </w:rPr>
            <w:t>Expérience de l’activité gouvernementale de R &amp;Det du cadre Horizon Europe</w:t>
          </w:r>
        </w:p>
        <w:p w14:paraId="38EA8AFB" w14:textId="77777777" w:rsidR="00A13834" w:rsidRPr="00FA3E5F" w:rsidRDefault="00A13834" w:rsidP="00A13834">
          <w:pPr>
            <w:pStyle w:val="ListParagraph"/>
            <w:numPr>
              <w:ilvl w:val="0"/>
              <w:numId w:val="26"/>
            </w:numPr>
            <w:spacing w:after="160" w:line="259" w:lineRule="auto"/>
            <w:rPr>
              <w:rFonts w:ascii="Times New Roman" w:hAnsi="Times New Roman" w:cs="Times New Roman"/>
            </w:rPr>
          </w:pPr>
          <w:r w:rsidRPr="00FA3E5F">
            <w:rPr>
              <w:rFonts w:ascii="Times New Roman" w:hAnsi="Times New Roman" w:cs="Times New Roman"/>
            </w:rPr>
            <w:t>La connaissance de la base de référence de la sécurité Galileo (G1 et G2) serait un atout</w:t>
          </w:r>
        </w:p>
        <w:p w14:paraId="18E291AF" w14:textId="77777777" w:rsidR="00A13834" w:rsidRPr="00FA3E5F" w:rsidRDefault="00A13834" w:rsidP="00A13834">
          <w:pPr>
            <w:pStyle w:val="ListParagraph"/>
            <w:numPr>
              <w:ilvl w:val="0"/>
              <w:numId w:val="26"/>
            </w:numPr>
            <w:spacing w:after="160" w:line="259" w:lineRule="auto"/>
            <w:rPr>
              <w:rFonts w:ascii="Times New Roman" w:hAnsi="Times New Roman" w:cs="Times New Roman"/>
            </w:rPr>
          </w:pPr>
          <w:r w:rsidRPr="00FA3E5F">
            <w:rPr>
              <w:rFonts w:ascii="Times New Roman" w:hAnsi="Times New Roman" w:cs="Times New Roman"/>
            </w:rPr>
            <w:t>Expérience dans la gestion des équipes et des parties prenantes</w:t>
          </w:r>
        </w:p>
        <w:p w14:paraId="46FB9986" w14:textId="77777777" w:rsidR="00A13834" w:rsidRPr="00FA3E5F" w:rsidRDefault="00A13834" w:rsidP="00A13834">
          <w:pPr>
            <w:pStyle w:val="ListParagraph"/>
            <w:numPr>
              <w:ilvl w:val="0"/>
              <w:numId w:val="26"/>
            </w:numPr>
            <w:spacing w:after="160" w:line="259" w:lineRule="auto"/>
            <w:rPr>
              <w:rFonts w:ascii="Times New Roman" w:hAnsi="Times New Roman" w:cs="Times New Roman"/>
            </w:rPr>
          </w:pPr>
          <w:r w:rsidRPr="00FA3E5F">
            <w:rPr>
              <w:rFonts w:ascii="Times New Roman" w:hAnsi="Times New Roman" w:cs="Times New Roman"/>
            </w:rPr>
            <w:lastRenderedPageBreak/>
            <w:t>Expérience dans la gestion des incidents/crises</w:t>
          </w:r>
        </w:p>
        <w:p w14:paraId="3D3D974D" w14:textId="77777777" w:rsidR="00A13834" w:rsidRPr="00FA3E5F" w:rsidRDefault="00A13834" w:rsidP="00A13834">
          <w:pPr>
            <w:pStyle w:val="ListParagraph"/>
            <w:numPr>
              <w:ilvl w:val="0"/>
              <w:numId w:val="26"/>
            </w:numPr>
            <w:spacing w:after="0" w:line="240" w:lineRule="auto"/>
            <w:jc w:val="both"/>
            <w:rPr>
              <w:rFonts w:ascii="Times New Roman" w:eastAsia="Times New Roman" w:hAnsi="Times New Roman" w:cs="Times New Roman"/>
              <w:sz w:val="24"/>
            </w:rPr>
          </w:pPr>
          <w:r w:rsidRPr="00FA3E5F">
            <w:rPr>
              <w:rFonts w:ascii="Times New Roman" w:hAnsi="Times New Roman" w:cs="Times New Roman"/>
            </w:rPr>
            <w:t>Bonnes compétences en matière de communication et de diplomatie.</w:t>
          </w:r>
        </w:p>
        <w:p w14:paraId="7EE234D8" w14:textId="77777777" w:rsidR="00A13834" w:rsidRPr="00FA3E5F" w:rsidRDefault="00A13834" w:rsidP="00A13834">
          <w:pPr>
            <w:pStyle w:val="ListParagraph"/>
            <w:numPr>
              <w:ilvl w:val="0"/>
              <w:numId w:val="26"/>
            </w:numPr>
            <w:spacing w:after="0" w:line="240" w:lineRule="auto"/>
            <w:jc w:val="both"/>
            <w:rPr>
              <w:rFonts w:ascii="Times New Roman" w:eastAsia="Times New Roman" w:hAnsi="Times New Roman" w:cs="Times New Roman"/>
              <w:sz w:val="24"/>
            </w:rPr>
          </w:pPr>
          <w:r w:rsidRPr="00FA3E5F">
            <w:rPr>
              <w:rFonts w:ascii="Times New Roman" w:hAnsi="Times New Roman" w:cs="Times New Roman"/>
            </w:rPr>
            <w:t xml:space="preserve">Le candidat est titulaire d’une habilitation de sécurité personnelle délivrée par l’autorité nationale de sécurité requise pour accéder aux informations classifiées de l’UE jusqu’au niveau de classification SECRET UE/EU SECRET. </w:t>
          </w:r>
        </w:p>
        <w:p w14:paraId="4712346F" w14:textId="77777777" w:rsidR="00A13834" w:rsidRDefault="00A13834" w:rsidP="00A13834">
          <w:pPr>
            <w:tabs>
              <w:tab w:val="left" w:pos="709"/>
            </w:tabs>
            <w:spacing w:after="0"/>
            <w:ind w:left="709" w:right="60"/>
            <w:rPr>
              <w:u w:val="single"/>
            </w:rPr>
          </w:pPr>
        </w:p>
        <w:p w14:paraId="20726ACE" w14:textId="77777777" w:rsidR="00A13834" w:rsidRDefault="00A13834" w:rsidP="00A13834">
          <w:pPr>
            <w:pStyle w:val="P68B1DB1-Normal7"/>
            <w:tabs>
              <w:tab w:val="left" w:pos="709"/>
            </w:tabs>
            <w:spacing w:after="0" w:line="240" w:lineRule="auto"/>
            <w:ind w:right="60"/>
            <w:jc w:val="both"/>
          </w:pPr>
          <w:r>
            <w:t>Langue (s) nécessaire (s) pour l’accomplissement des tâches</w:t>
          </w:r>
        </w:p>
        <w:p w14:paraId="60782A90" w14:textId="77777777" w:rsidR="00A13834" w:rsidRDefault="00A13834" w:rsidP="00A13834">
          <w:pPr>
            <w:tabs>
              <w:tab w:val="left" w:pos="709"/>
            </w:tabs>
            <w:spacing w:after="0"/>
            <w:ind w:left="709" w:right="60"/>
            <w:rPr>
              <w:u w:val="single"/>
            </w:rPr>
          </w:pPr>
        </w:p>
        <w:p w14:paraId="7D05CC52" w14:textId="77777777" w:rsidR="00A13834" w:rsidRDefault="00A13834" w:rsidP="00A13834">
          <w:pPr>
            <w:pStyle w:val="P68B1DB1-Normal7"/>
            <w:tabs>
              <w:tab w:val="left" w:pos="709"/>
            </w:tabs>
            <w:spacing w:after="0" w:line="240" w:lineRule="auto"/>
            <w:ind w:right="60"/>
            <w:jc w:val="both"/>
          </w:pPr>
          <w:r>
            <w:t>Anglais (excellent oral/écrit), français souhaitable</w:t>
          </w:r>
        </w:p>
        <w:p w14:paraId="5D76C15C" w14:textId="45F19EF0" w:rsidR="00F65CC2" w:rsidRPr="00BD7D43" w:rsidRDefault="00433F37" w:rsidP="00BD7D43">
          <w:pPr>
            <w:pStyle w:val="ListNumber"/>
            <w:numPr>
              <w:ilvl w:val="0"/>
              <w:numId w:val="0"/>
            </w:numPr>
            <w:rPr>
              <w:lang w:val="en-IE" w:eastAsia="en-GB"/>
            </w:rPr>
          </w:pPr>
        </w:p>
      </w:sdtContent>
    </w:sdt>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lastRenderedPageBreak/>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BAF49D4"/>
    <w:multiLevelType w:val="hybridMultilevel"/>
    <w:tmpl w:val="2D14C60E"/>
    <w:lvl w:ilvl="0" w:tplc="9CC2558C">
      <w:start w:val="1104"/>
      <w:numFmt w:val="bullet"/>
      <w:lvlText w:val="-"/>
      <w:lvlJc w:val="left"/>
      <w:pPr>
        <w:ind w:left="720" w:hanging="360"/>
      </w:pPr>
      <w:rPr>
        <w:rFonts w:ascii="Calibri" w:eastAsiaTheme="minorHAns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7"/>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10907385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activeWritingStyle w:appName="MSWord" w:lang="en-GB" w:vendorID="64" w:dllVersion="0" w:nlCheck="1" w:checkStyle="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33F37"/>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13834"/>
    <w:rsid w:val="00A65B97"/>
    <w:rsid w:val="00A917BE"/>
    <w:rsid w:val="00B31DC8"/>
    <w:rsid w:val="00B566C1"/>
    <w:rsid w:val="00BD7D43"/>
    <w:rsid w:val="00BF389A"/>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customStyle="1" w:styleId="P68B1DB1-Normal1">
    <w:name w:val="P68B1DB1-Normal1"/>
    <w:basedOn w:val="Normal"/>
    <w:rsid w:val="00A13834"/>
    <w:pPr>
      <w:spacing w:after="200" w:line="276" w:lineRule="auto"/>
      <w:jc w:val="left"/>
    </w:pPr>
    <w:rPr>
      <w:lang w:val="fr"/>
    </w:rPr>
  </w:style>
  <w:style w:type="paragraph" w:styleId="ListParagraph">
    <w:name w:val="List Paragraph"/>
    <w:basedOn w:val="Normal"/>
    <w:uiPriority w:val="34"/>
    <w:qFormat/>
    <w:locked/>
    <w:rsid w:val="00A13834"/>
    <w:pPr>
      <w:spacing w:after="200" w:line="276" w:lineRule="auto"/>
      <w:ind w:left="720"/>
      <w:contextualSpacing/>
      <w:jc w:val="left"/>
    </w:pPr>
    <w:rPr>
      <w:rFonts w:asciiTheme="minorHAnsi" w:eastAsiaTheme="minorHAnsi" w:hAnsiTheme="minorHAnsi" w:cstheme="minorBidi"/>
      <w:sz w:val="22"/>
      <w:lang w:val="fr"/>
    </w:rPr>
  </w:style>
  <w:style w:type="paragraph" w:customStyle="1" w:styleId="P68B1DB1-Normal3">
    <w:name w:val="P68B1DB1-Normal3"/>
    <w:basedOn w:val="Normal"/>
    <w:rsid w:val="00A13834"/>
    <w:pPr>
      <w:spacing w:after="200" w:line="276" w:lineRule="auto"/>
      <w:jc w:val="left"/>
    </w:pPr>
    <w:rPr>
      <w:b/>
      <w:sz w:val="22"/>
      <w:lang w:val="fr"/>
    </w:rPr>
  </w:style>
  <w:style w:type="paragraph" w:customStyle="1" w:styleId="P68B1DB1-Normal4">
    <w:name w:val="P68B1DB1-Normal4"/>
    <w:basedOn w:val="Normal"/>
    <w:rsid w:val="00A13834"/>
    <w:pPr>
      <w:spacing w:after="200" w:line="276" w:lineRule="auto"/>
      <w:jc w:val="left"/>
    </w:pPr>
    <w:rPr>
      <w:sz w:val="22"/>
      <w:lang w:val="fr"/>
    </w:rPr>
  </w:style>
  <w:style w:type="paragraph" w:customStyle="1" w:styleId="P68B1DB1-Normal7">
    <w:name w:val="P68B1DB1-Normal7"/>
    <w:basedOn w:val="Normal"/>
    <w:rsid w:val="00A13834"/>
    <w:pPr>
      <w:spacing w:after="200" w:line="276" w:lineRule="auto"/>
      <w:jc w:val="left"/>
    </w:pPr>
    <w:rPr>
      <w:sz w:val="22"/>
      <w:u w:val="single"/>
      <w:lang w:val="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F4C2AF9"/>
    <w:multiLevelType w:val="multilevel"/>
    <w:tmpl w:val="81BC7C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204683280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http://purl.org/dc/terms/"/>
    <ds:schemaRef ds:uri="http://schemas.microsoft.com/office/2006/metadata/properties"/>
    <ds:schemaRef ds:uri="a41a97bf-0494-41d8-ba3d-259bd7771890"/>
    <ds:schemaRef ds:uri="1929b814-5a78-4bdc-9841-d8b9ef424f65"/>
    <ds:schemaRef ds:uri="http://schemas.microsoft.com/office/infopath/2007/PartnerControls"/>
    <ds:schemaRef ds:uri="http://schemas.openxmlformats.org/package/2006/metadata/core-properties"/>
    <ds:schemaRef ds:uri="http://www.w3.org/XML/1998/namespace"/>
    <ds:schemaRef ds:uri="http://schemas.microsoft.com/office/2006/documentManagement/types"/>
    <ds:schemaRef ds:uri="http://purl.org/dc/dcmitype/"/>
    <ds:schemaRef ds:uri="08927195-b699-4be0-9ee2-6c66dc215b5a"/>
    <ds:schemaRef ds:uri="http://schemas.microsoft.com/sharepoint/v3/fields"/>
    <ds:schemaRef ds:uri="http://purl.org/dc/elements/1.1/"/>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1535</Words>
  <Characters>8756</Characters>
  <Application>Microsoft Office Word</Application>
  <DocSecurity>4</DocSecurity>
  <PresentationFormat>Microsoft Word 14.0</PresentationFormat>
  <Lines>72</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2024-10-11T16:53:00Z</dcterms:created>
  <dcterms:modified xsi:type="dcterms:W3CDTF">2024-10-11T16:53:00Z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