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3561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3561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3561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3561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3561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3561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2608DB"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51887B1" w:rsidR="00377580" w:rsidRPr="00080A71" w:rsidRDefault="0028110A" w:rsidP="005F6927">
                <w:pPr>
                  <w:tabs>
                    <w:tab w:val="left" w:pos="426"/>
                  </w:tabs>
                  <w:rPr>
                    <w:bCs/>
                    <w:lang w:val="en-IE" w:eastAsia="en-GB"/>
                  </w:rPr>
                </w:pPr>
                <w:r>
                  <w:rPr>
                    <w:bCs/>
                    <w:lang w:val="fr-BE" w:eastAsia="en-GB"/>
                  </w:rPr>
                  <w:t>REFORM-B-2</w:t>
                </w:r>
              </w:p>
            </w:tc>
          </w:sdtContent>
        </w:sdt>
      </w:tr>
      <w:tr w:rsidR="00377580" w:rsidRPr="002608D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1BF2AC5" w:rsidR="00377580" w:rsidRPr="00080A71" w:rsidRDefault="0028110A" w:rsidP="005F6927">
                <w:pPr>
                  <w:tabs>
                    <w:tab w:val="left" w:pos="426"/>
                  </w:tabs>
                  <w:rPr>
                    <w:bCs/>
                    <w:lang w:val="en-IE" w:eastAsia="en-GB"/>
                  </w:rPr>
                </w:pPr>
                <w:r>
                  <w:rPr>
                    <w:bCs/>
                    <w:lang w:val="fr-BE" w:eastAsia="en-GB"/>
                  </w:rPr>
                  <w:t>457940</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3097ED97" w:rsidR="00377580" w:rsidRPr="00080A71" w:rsidRDefault="0028110A" w:rsidP="005F6927">
                <w:pPr>
                  <w:tabs>
                    <w:tab w:val="left" w:pos="426"/>
                  </w:tabs>
                  <w:rPr>
                    <w:bCs/>
                    <w:lang w:val="en-IE" w:eastAsia="en-GB"/>
                  </w:rPr>
                </w:pPr>
                <w:r>
                  <w:rPr>
                    <w:bCs/>
                    <w:lang w:val="fr-BE" w:eastAsia="en-GB"/>
                  </w:rPr>
                  <w:t>Kjartan Bjornsson</w:t>
                </w:r>
              </w:p>
            </w:sdtContent>
          </w:sdt>
          <w:p w14:paraId="32DD8032" w14:textId="156926CB" w:rsidR="00377580" w:rsidRPr="001D3EEC" w:rsidRDefault="0063561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28110A">
                  <w:rPr>
                    <w:bCs/>
                    <w:lang w:val="fr-BE" w:eastAsia="en-GB"/>
                  </w:rPr>
                  <w:t>4</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2608DB">
                      <w:rPr>
                        <w:bCs/>
                        <w:lang w:val="en-IE" w:eastAsia="en-GB"/>
                      </w:rPr>
                      <w:t>2024</w:t>
                    </w:r>
                  </w:sdtContent>
                </w:sdt>
              </w:sdtContent>
            </w:sdt>
          </w:p>
          <w:p w14:paraId="768BBE26" w14:textId="03E33CD1" w:rsidR="00377580" w:rsidRPr="001D3EEC" w:rsidRDefault="0063561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28110A">
                  <w:rPr>
                    <w:bCs/>
                    <w:lang w:val="fr-BE" w:eastAsia="en-GB"/>
                  </w:rPr>
                  <w:t xml:space="preserve">1 </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2608DB">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69A0F74"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8B48E16"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63561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3561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47B016D" w:rsidR="00377580" w:rsidRDefault="0063561E" w:rsidP="00A65B97">
            <w:pPr>
              <w:tabs>
                <w:tab w:val="left" w:pos="426"/>
              </w:tabs>
              <w:ind w:left="567"/>
              <w:rPr>
                <w:bCs/>
                <w:szCs w:val="24"/>
                <w:lang w:val="fr-BE" w:eastAsia="en-GB"/>
              </w:rPr>
            </w:pPr>
            <w:sdt>
              <w:sdtPr>
                <w:rPr>
                  <w:bCs/>
                  <w:szCs w:val="24"/>
                  <w:lang w:val="fr-BE" w:eastAsia="en-GB"/>
                </w:rPr>
                <w:id w:val="127444912"/>
                <w14:checkbox>
                  <w14:checked w14:val="1"/>
                  <w14:checkedState w14:val="2612" w14:font="MS Gothic"/>
                  <w14:uncheckedState w14:val="2610" w14:font="MS Gothic"/>
                </w14:checkbox>
              </w:sdtPr>
              <w:sdtEndPr/>
              <w:sdtContent>
                <w:r w:rsidR="000150E5">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dtPr>
              <w:sdtEndPr/>
              <w:sdtContent>
                <w:r w:rsidR="000150E5">
                  <w:rPr>
                    <w:bCs/>
                    <w:szCs w:val="24"/>
                    <w:lang w:val="fr-BE" w:eastAsia="en-GB"/>
                  </w:rPr>
                  <w:t>OCDE</w:t>
                </w:r>
              </w:sdtContent>
            </w:sdt>
          </w:p>
          <w:p w14:paraId="2B5ABBA0" w14:textId="36B8E86F"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2608DB"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E616AA3"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27D3B0DF" w:rsidR="006B47B6" w:rsidRPr="0007110E" w:rsidRDefault="00BF389A" w:rsidP="00DE0E7F">
            <w:pPr>
              <w:tabs>
                <w:tab w:val="left" w:pos="426"/>
              </w:tabs>
              <w:spacing w:before="120" w:after="120"/>
              <w:rPr>
                <w:bCs/>
                <w:lang w:val="en-IE" w:eastAsia="en-GB"/>
              </w:rPr>
            </w:pPr>
            <w:r w:rsidRPr="002608DB">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2-17T00:00:00Z">
                  <w:dateFormat w:val="dd-MM-yyyy"/>
                  <w:lid w:val="fr-BE"/>
                  <w:storeMappedDataAs w:val="dateTime"/>
                  <w:calendar w:val="gregorian"/>
                </w:date>
              </w:sdtPr>
              <w:sdtEndPr/>
              <w:sdtContent>
                <w:r w:rsidR="0063561E">
                  <w:rPr>
                    <w:bCs/>
                    <w:lang w:val="fr-BE" w:eastAsia="en-GB"/>
                  </w:rPr>
                  <w:t>17-12-2024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rFonts w:eastAsiaTheme="minorHAnsi"/>
          <w:kern w:val="2"/>
          <w:lang w:val="fr-BE" w:eastAsia="en-GB"/>
          <w14:ligatures w14:val="standardContextual"/>
        </w:rPr>
        <w:id w:val="1822233941"/>
        <w:placeholder>
          <w:docPart w:val="502342290B3541ABA4032C2AA949ADE4"/>
        </w:placeholder>
      </w:sdtPr>
      <w:sdtEndPr/>
      <w:sdtContent>
        <w:p w14:paraId="178F54E5" w14:textId="77777777" w:rsidR="002608DB" w:rsidRPr="002608DB" w:rsidRDefault="002608DB" w:rsidP="002608DB">
          <w:pPr>
            <w:rPr>
              <w:lang w:val="fr-BE" w:eastAsia="en-GB"/>
            </w:rPr>
          </w:pPr>
          <w:r w:rsidRPr="002608DB">
            <w:rPr>
              <w:lang w:val="fr-BE" w:eastAsia="en-GB"/>
            </w:rPr>
            <w:t>La Direction générale de l'appui aux réformes structurelles (DG REFORM) est placée sous la coordination de la commissaire Ferreira. La mission de la DG REFORM est d'apporter et de coordonner un soutien technique aux États membres pour la conception et la mise en œuvre de réformes structurelles – en particulier dans le contexte du processus de gouvernance économique – et la bonne utilisation des fonds de l'Union européenne. Le soutien est ouvert à tous les États membres, sur demande.</w:t>
          </w:r>
        </w:p>
        <w:p w14:paraId="70B89BC5" w14:textId="7DBD932A" w:rsidR="002608DB" w:rsidRPr="002608DB" w:rsidRDefault="002608DB" w:rsidP="002608DB">
          <w:pPr>
            <w:rPr>
              <w:lang w:val="fr-BE" w:eastAsia="en-GB"/>
            </w:rPr>
          </w:pPr>
          <w:r w:rsidRPr="002608DB">
            <w:rPr>
              <w:lang w:val="fr-BE" w:eastAsia="en-GB"/>
            </w:rPr>
            <w:lastRenderedPageBreak/>
            <w:t xml:space="preserve">La DG REFORM travaille actuellement avec les 27 États membres de l'Union européenne. Elle compte environ 200 collaborateurs basés à Bruxelles, Athènes, Nicosie, Zagreb et Bucarest. Elle est composée d'une équipe de direction, d'une équipe horizontale et de deux directorats.  La Direction A est composée de </w:t>
          </w:r>
          <w:r>
            <w:rPr>
              <w:lang w:val="fr-BE" w:eastAsia="en-GB"/>
            </w:rPr>
            <w:t>quatre</w:t>
          </w:r>
          <w:r w:rsidRPr="002608DB">
            <w:rPr>
              <w:lang w:val="fr-BE" w:eastAsia="en-GB"/>
            </w:rPr>
            <w:t xml:space="preserve"> unités responsables du budget et des finances; de la planification, de l’évaluation et de la coordination de l'appui</w:t>
          </w:r>
          <w:r>
            <w:rPr>
              <w:lang w:val="fr-BE" w:eastAsia="en-GB"/>
            </w:rPr>
            <w:t xml:space="preserve">, </w:t>
          </w:r>
          <w:r w:rsidRPr="002608DB">
            <w:rPr>
              <w:lang w:val="fr-BE" w:eastAsia="en-GB"/>
            </w:rPr>
            <w:t>de l’appui au règlement de la question chypriote</w:t>
          </w:r>
          <w:r>
            <w:rPr>
              <w:lang w:val="fr-BE" w:eastAsia="en-GB"/>
            </w:rPr>
            <w:t xml:space="preserve"> et de la communication et la gestion des performances</w:t>
          </w:r>
          <w:r w:rsidRPr="002608DB">
            <w:rPr>
              <w:lang w:val="fr-BE" w:eastAsia="en-GB"/>
            </w:rPr>
            <w:t>. La Direction B est composée de cinq unités sectorielles spécialisées dans les politiques publiques (gestion des finances publiques ; gouvernance et administration publique ; croissance durable et environnement des entreprises ; marché du travail, éducation, santé et services sociaux ; secteur financier et accès au financement).</w:t>
          </w:r>
        </w:p>
        <w:p w14:paraId="753CD8D0" w14:textId="77777777" w:rsidR="002608DB" w:rsidRPr="002608DB" w:rsidRDefault="002608DB" w:rsidP="002608DB">
          <w:pPr>
            <w:rPr>
              <w:lang w:val="fr-BE" w:eastAsia="en-GB"/>
            </w:rPr>
          </w:pPr>
          <w:r w:rsidRPr="002608DB">
            <w:rPr>
              <w:lang w:val="fr-BE" w:eastAsia="en-GB"/>
            </w:rPr>
            <w:t>La DG REFORM a un rôle de coordination important au sein de la Commission européenne, ainsi que des contacts fréquents avec les États membres et diverses parties prenantes.</w:t>
          </w:r>
        </w:p>
        <w:p w14:paraId="18140A21" w14:textId="6CC3AB90" w:rsidR="001A0074" w:rsidRDefault="002608DB" w:rsidP="002608DB">
          <w:pPr>
            <w:rPr>
              <w:lang w:val="fr-BE" w:eastAsia="en-GB"/>
            </w:rPr>
          </w:pPr>
          <w:r w:rsidRPr="002608DB">
            <w:rPr>
              <w:lang w:val="fr-BE" w:eastAsia="en-GB"/>
            </w:rPr>
            <w:t>La DG REFORM gère l'Instrument d'Appui Technique (TSI). Le TSI est l'outil clé de la Commission Européenne pour aider les États Membres à concevoir et à mettre en œuvre des réformes inclusives et favorables à la croissance, qui peut également offrir un soutien aux États Membres pour la préparation et la mise en œuvre de leur Plan de Relance et de Résilience. Le TSI dispose d'un budget dédié et d'un cadre juridique pour la fourniture d'un soutien technique aux États Membres. La DG REFORM gère également le programme d'aide à la communauté Chypriote Turque.</w:t>
          </w:r>
        </w:p>
        <w:p w14:paraId="2999B683" w14:textId="4B050C5F" w:rsidR="002608DB" w:rsidRPr="0028110A" w:rsidRDefault="0028110A" w:rsidP="0028110A">
          <w:pPr>
            <w:pStyle w:val="P68B1DB1-Normal1"/>
            <w:jc w:val="both"/>
          </w:pPr>
          <w:bookmarkStart w:id="0" w:name="_Hlk177474082"/>
          <w:r>
            <w:t>Le poste est vacant au sein de l’unité « Gouvernance et administration publique » (REFORM.B2). Le rôle de l’unité est de fournir et de coordonner un soutien technique dans les domaines de l’administration centrale et locale, de l’administration en ligne, du système judiciaire et de la lutte contre la corruption, ainsi que d’utiliser efficacement les questions relatives aux Fonds structurels et d’investissement européens. L’unité dirige et coordonne également les activités de la Commission dans le domaine  de l’administration publique et de la gouvernance</w:t>
          </w:r>
          <w:bookmarkEnd w:id="0"/>
          <w:r>
            <w:t>.</w:t>
          </w:r>
        </w:p>
      </w:sdtContent>
    </w:sdt>
    <w:p w14:paraId="30B422AA" w14:textId="77777777" w:rsidR="00301CA3" w:rsidRPr="0063561E" w:rsidRDefault="00301CA3" w:rsidP="001A0074">
      <w:pPr>
        <w:rPr>
          <w:b/>
          <w:bCs/>
          <w:lang w:val="pt-PT"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rFonts w:eastAsia="Times New Roman"/>
          <w:b w:val="0"/>
          <w:kern w:val="0"/>
          <w:lang w:val="fr-BE" w:eastAsia="en-GB"/>
          <w14:ligatures w14:val="none"/>
        </w:rPr>
        <w:id w:val="-723136291"/>
        <w:placeholder>
          <w:docPart w:val="43375E7FB7294216B3B48CC222A08C2F"/>
        </w:placeholder>
      </w:sdtPr>
      <w:sdtEndPr/>
      <w:sdtContent>
        <w:p w14:paraId="0291DA5F" w14:textId="31785A07" w:rsidR="0028110A" w:rsidRPr="0028110A" w:rsidRDefault="0028110A" w:rsidP="0028110A">
          <w:pPr>
            <w:pStyle w:val="P68B1DB1-Normal2"/>
            <w:spacing w:after="240" w:line="240" w:lineRule="auto"/>
            <w:jc w:val="both"/>
          </w:pPr>
          <w:r w:rsidRPr="0028110A">
            <w:t xml:space="preserve">Un expert national détaché auprès de l’unité Administration publique et gouvernance de la DG REFORM. </w:t>
          </w:r>
        </w:p>
        <w:p w14:paraId="30731999" w14:textId="77777777" w:rsidR="0028110A" w:rsidRPr="0028110A" w:rsidRDefault="0028110A" w:rsidP="0028110A">
          <w:pPr>
            <w:rPr>
              <w:rFonts w:eastAsiaTheme="minorHAnsi"/>
              <w:b/>
              <w:kern w:val="2"/>
              <w:lang w:val="fr" w:eastAsia="fr-BE"/>
              <w14:ligatures w14:val="standardContextual"/>
            </w:rPr>
          </w:pPr>
          <w:r w:rsidRPr="0028110A">
            <w:rPr>
              <w:rFonts w:eastAsiaTheme="minorHAnsi"/>
              <w:b/>
              <w:kern w:val="2"/>
              <w:lang w:val="fr" w:eastAsia="fr-BE"/>
              <w14:ligatures w14:val="standardContextual"/>
            </w:rPr>
            <w:t>Pourquoi?</w:t>
          </w:r>
        </w:p>
        <w:p w14:paraId="4AA9C712" w14:textId="77777777" w:rsidR="0028110A" w:rsidRPr="0028110A" w:rsidRDefault="0028110A" w:rsidP="0028110A">
          <w:pPr>
            <w:spacing w:after="160" w:line="259" w:lineRule="auto"/>
            <w:rPr>
              <w:rFonts w:eastAsiaTheme="minorHAnsi"/>
              <w:kern w:val="2"/>
              <w:lang w:val="fr" w:eastAsia="fr-BE"/>
              <w14:ligatures w14:val="standardContextual"/>
            </w:rPr>
          </w:pPr>
          <w:r w:rsidRPr="0028110A">
            <w:rPr>
              <w:rFonts w:eastAsiaTheme="minorHAnsi"/>
              <w:b/>
              <w:kern w:val="2"/>
              <w:lang w:val="fr" w:eastAsia="fr-BE"/>
              <w14:ligatures w14:val="standardContextual"/>
            </w:rPr>
            <w:t>C’est une bonne chose pour votre ministère, pour votre pays, pour l’Europe</w:t>
          </w:r>
          <w:r w:rsidRPr="0028110A">
            <w:rPr>
              <w:rFonts w:eastAsiaTheme="minorHAnsi"/>
              <w:kern w:val="2"/>
              <w:lang w:val="fr" w:eastAsia="fr-BE"/>
              <w14:ligatures w14:val="standardContextual"/>
            </w:rPr>
            <w:t>.</w:t>
          </w:r>
        </w:p>
        <w:p w14:paraId="6E46C8C4" w14:textId="77777777" w:rsidR="0028110A" w:rsidRPr="0028110A" w:rsidRDefault="0028110A" w:rsidP="0028110A">
          <w:pPr>
            <w:spacing w:after="0"/>
            <w:rPr>
              <w:rFonts w:eastAsiaTheme="minorHAnsi"/>
              <w:kern w:val="2"/>
              <w:lang w:val="fr" w:eastAsia="fr-BE"/>
              <w14:ligatures w14:val="standardContextual"/>
            </w:rPr>
          </w:pPr>
          <w:r w:rsidRPr="0028110A">
            <w:rPr>
              <w:rFonts w:eastAsiaTheme="minorHAnsi"/>
              <w:kern w:val="2"/>
              <w:lang w:val="fr" w:eastAsia="fr-BE"/>
              <w14:ligatures w14:val="standardContextual"/>
            </w:rPr>
            <w:t xml:space="preserve">À première vue, un détachement s’apparente à un coût. Mais </w:t>
          </w:r>
          <w:r w:rsidRPr="0028110A">
            <w:rPr>
              <w:rFonts w:eastAsiaTheme="minorHAnsi"/>
              <w:b/>
              <w:kern w:val="2"/>
              <w:lang w:val="fr" w:eastAsia="fr-BE"/>
              <w14:ligatures w14:val="standardContextual"/>
            </w:rPr>
            <w:t>il s’agit d’un investissement</w:t>
          </w:r>
          <w:r w:rsidRPr="0028110A">
            <w:rPr>
              <w:rFonts w:eastAsiaTheme="minorHAnsi"/>
              <w:kern w:val="2"/>
              <w:lang w:val="fr" w:eastAsia="fr-BE"/>
              <w14:ligatures w14:val="standardContextual"/>
            </w:rPr>
            <w:t xml:space="preserve">.  Il s’agit d’un investissement dans votre </w:t>
          </w:r>
          <w:r w:rsidRPr="0028110A">
            <w:rPr>
              <w:rFonts w:eastAsiaTheme="minorHAnsi"/>
              <w:b/>
              <w:kern w:val="2"/>
              <w:lang w:val="fr" w:eastAsia="fr-BE"/>
              <w14:ligatures w14:val="standardContextual"/>
            </w:rPr>
            <w:t>capacité à concevoir et à mettre en œuvre des réformes</w:t>
          </w:r>
          <w:r w:rsidRPr="0028110A">
            <w:rPr>
              <w:rFonts w:eastAsiaTheme="minorHAnsi"/>
              <w:kern w:val="2"/>
              <w:lang w:val="fr" w:eastAsia="fr-BE"/>
              <w14:ligatures w14:val="standardContextual"/>
            </w:rPr>
            <w:t xml:space="preserve">. </w:t>
          </w:r>
        </w:p>
        <w:p w14:paraId="2C90EF21" w14:textId="77777777" w:rsidR="0028110A" w:rsidRPr="0028110A" w:rsidRDefault="0028110A" w:rsidP="0028110A">
          <w:pPr>
            <w:spacing w:after="0"/>
            <w:rPr>
              <w:rFonts w:eastAsiaTheme="minorHAnsi"/>
              <w:kern w:val="2"/>
              <w:lang w:val="fr" w:eastAsia="fr-BE"/>
              <w14:ligatures w14:val="standardContextual"/>
            </w:rPr>
          </w:pPr>
        </w:p>
        <w:p w14:paraId="4F329C6E" w14:textId="77777777" w:rsidR="0028110A" w:rsidRPr="0028110A" w:rsidRDefault="0028110A" w:rsidP="0028110A">
          <w:pPr>
            <w:spacing w:after="0"/>
            <w:rPr>
              <w:rFonts w:eastAsiaTheme="minorHAnsi"/>
              <w:kern w:val="2"/>
              <w:lang w:val="fr" w:eastAsia="fr-BE"/>
              <w14:ligatures w14:val="standardContextual"/>
            </w:rPr>
          </w:pPr>
          <w:r w:rsidRPr="0028110A">
            <w:rPr>
              <w:rFonts w:eastAsiaTheme="minorHAnsi"/>
              <w:kern w:val="2"/>
              <w:lang w:val="fr" w:eastAsia="fr-BE"/>
              <w14:ligatures w14:val="standardContextual"/>
            </w:rPr>
            <w:t xml:space="preserve">Le besoin de réformes est plus important que jamais. Face à la complexité de notre monde en crise permanente, les administrations publiques doiventfaire preuve de plus de souplesse, de réactivité et de résilience avec des ressources toujours moins importantes. </w:t>
          </w:r>
        </w:p>
        <w:p w14:paraId="63A800D3" w14:textId="77777777" w:rsidR="0028110A" w:rsidRPr="0028110A" w:rsidRDefault="0028110A" w:rsidP="0028110A">
          <w:pPr>
            <w:spacing w:after="0"/>
            <w:rPr>
              <w:rFonts w:eastAsiaTheme="minorHAnsi"/>
              <w:kern w:val="2"/>
              <w:lang w:val="fr" w:eastAsia="fr-BE"/>
              <w14:ligatures w14:val="standardContextual"/>
            </w:rPr>
          </w:pPr>
        </w:p>
        <w:p w14:paraId="3F3488D3" w14:textId="77777777" w:rsidR="0028110A" w:rsidRPr="0028110A" w:rsidRDefault="0028110A" w:rsidP="0028110A">
          <w:pPr>
            <w:spacing w:after="0"/>
            <w:rPr>
              <w:rFonts w:eastAsiaTheme="minorHAnsi"/>
              <w:kern w:val="2"/>
              <w:lang w:val="fr" w:eastAsia="fr-BE"/>
              <w14:ligatures w14:val="standardContextual"/>
            </w:rPr>
          </w:pPr>
          <w:r w:rsidRPr="0028110A">
            <w:rPr>
              <w:rFonts w:eastAsiaTheme="minorHAnsi"/>
              <w:kern w:val="2"/>
              <w:lang w:val="fr" w:eastAsia="fr-BE"/>
              <w14:ligatures w14:val="standardContextual"/>
            </w:rPr>
            <w:t xml:space="preserve">Le détachement d’un de vos experts à la DG REFORM lui permettra de : </w:t>
          </w:r>
        </w:p>
        <w:p w14:paraId="5D71EF40" w14:textId="77777777" w:rsidR="0028110A" w:rsidRPr="0028110A" w:rsidRDefault="0028110A" w:rsidP="0028110A">
          <w:pPr>
            <w:numPr>
              <w:ilvl w:val="0"/>
              <w:numId w:val="26"/>
            </w:numPr>
            <w:spacing w:after="0" w:line="259" w:lineRule="auto"/>
            <w:contextualSpacing/>
            <w:jc w:val="left"/>
            <w:rPr>
              <w:rFonts w:eastAsiaTheme="minorHAnsi"/>
              <w:kern w:val="2"/>
              <w:lang w:val="fr" w:eastAsia="fr-BE"/>
              <w14:ligatures w14:val="standardContextual"/>
            </w:rPr>
          </w:pPr>
          <w:r w:rsidRPr="0028110A">
            <w:rPr>
              <w:rFonts w:eastAsiaTheme="minorHAnsi"/>
              <w:b/>
              <w:kern w:val="2"/>
              <w:lang w:val="fr" w:eastAsia="fr-BE"/>
              <w14:ligatures w14:val="standardContextual"/>
            </w:rPr>
            <w:t>Comprendre les tendances en matière</w:t>
          </w:r>
          <w:r w:rsidRPr="0028110A">
            <w:rPr>
              <w:rFonts w:eastAsiaTheme="minorHAnsi"/>
              <w:kern w:val="2"/>
              <w:lang w:val="fr" w:eastAsia="fr-BE"/>
              <w14:ligatures w14:val="standardContextual"/>
            </w:rPr>
            <w:t xml:space="preserve"> de réformes en Europe.</w:t>
          </w:r>
        </w:p>
        <w:p w14:paraId="76F459F7" w14:textId="77777777" w:rsidR="0028110A" w:rsidRPr="0028110A" w:rsidRDefault="0028110A" w:rsidP="0028110A">
          <w:pPr>
            <w:numPr>
              <w:ilvl w:val="0"/>
              <w:numId w:val="26"/>
            </w:numPr>
            <w:spacing w:after="0" w:line="259" w:lineRule="auto"/>
            <w:contextualSpacing/>
            <w:jc w:val="left"/>
            <w:rPr>
              <w:rFonts w:eastAsiaTheme="minorHAnsi"/>
              <w:kern w:val="2"/>
              <w:lang w:val="fr" w:eastAsia="fr-BE"/>
              <w14:ligatures w14:val="standardContextual"/>
            </w:rPr>
          </w:pPr>
          <w:r w:rsidRPr="0028110A">
            <w:rPr>
              <w:rFonts w:eastAsiaTheme="minorHAnsi"/>
              <w:b/>
              <w:kern w:val="2"/>
              <w:lang w:val="fr" w:eastAsia="fr-BE"/>
              <w14:ligatures w14:val="standardContextual"/>
            </w:rPr>
            <w:lastRenderedPageBreak/>
            <w:t>Recenser les possibilités de réforme</w:t>
          </w:r>
          <w:r w:rsidRPr="0028110A">
            <w:rPr>
              <w:rFonts w:eastAsiaTheme="minorHAnsi"/>
              <w:kern w:val="2"/>
              <w:lang w:val="fr" w:eastAsia="fr-BE"/>
              <w14:ligatures w14:val="standardContextual"/>
            </w:rPr>
            <w:t xml:space="preserve"> et </w:t>
          </w:r>
          <w:r w:rsidRPr="0028110A">
            <w:rPr>
              <w:rFonts w:eastAsiaTheme="minorHAnsi"/>
              <w:b/>
              <w:kern w:val="2"/>
              <w:lang w:val="fr" w:eastAsia="fr-BE"/>
              <w14:ligatures w14:val="standardContextual"/>
            </w:rPr>
            <w:t>concevoir et mettre en œuvre des projets de réforme de haute qualité</w:t>
          </w:r>
          <w:r w:rsidRPr="0028110A">
            <w:rPr>
              <w:rFonts w:eastAsiaTheme="minorHAnsi"/>
              <w:kern w:val="2"/>
              <w:lang w:val="fr" w:eastAsia="fr-BE"/>
              <w14:ligatures w14:val="standardContextual"/>
            </w:rPr>
            <w:t>.</w:t>
          </w:r>
        </w:p>
        <w:p w14:paraId="172C5244" w14:textId="77777777" w:rsidR="0028110A" w:rsidRPr="0028110A" w:rsidRDefault="0028110A" w:rsidP="0028110A">
          <w:pPr>
            <w:numPr>
              <w:ilvl w:val="0"/>
              <w:numId w:val="26"/>
            </w:numPr>
            <w:spacing w:after="0" w:line="259" w:lineRule="auto"/>
            <w:contextualSpacing/>
            <w:jc w:val="left"/>
            <w:rPr>
              <w:rFonts w:eastAsiaTheme="minorHAnsi"/>
              <w:kern w:val="2"/>
              <w:lang w:val="fr" w:eastAsia="fr-BE"/>
              <w14:ligatures w14:val="standardContextual"/>
            </w:rPr>
          </w:pPr>
          <w:r w:rsidRPr="0028110A">
            <w:rPr>
              <w:rFonts w:eastAsiaTheme="minorHAnsi"/>
              <w:kern w:val="2"/>
              <w:lang w:val="fr" w:eastAsia="fr-BE"/>
              <w14:ligatures w14:val="standardContextual"/>
            </w:rPr>
            <w:t>Participer à la mise en œuvre d’actions clés au titre du socle des compétences</w:t>
          </w:r>
          <w:r w:rsidRPr="0028110A">
            <w:rPr>
              <w:rFonts w:eastAsiaTheme="minorHAnsi"/>
              <w:color w:val="FF0000"/>
              <w:kern w:val="2"/>
              <w:lang w:val="fr" w:eastAsia="fr-BE"/>
              <w14:ligatures w14:val="standardContextual"/>
            </w:rPr>
            <w:t>.</w:t>
          </w:r>
        </w:p>
        <w:p w14:paraId="1A5CC629" w14:textId="77777777" w:rsidR="0028110A" w:rsidRPr="0028110A" w:rsidRDefault="0028110A" w:rsidP="0028110A">
          <w:pPr>
            <w:numPr>
              <w:ilvl w:val="0"/>
              <w:numId w:val="26"/>
            </w:numPr>
            <w:spacing w:after="0" w:line="259" w:lineRule="auto"/>
            <w:contextualSpacing/>
            <w:jc w:val="left"/>
            <w:rPr>
              <w:rFonts w:eastAsiaTheme="minorHAnsi"/>
              <w:kern w:val="2"/>
              <w:lang w:val="fr" w:eastAsia="fr-BE"/>
              <w14:ligatures w14:val="standardContextual"/>
            </w:rPr>
          </w:pPr>
          <w:r w:rsidRPr="0028110A">
            <w:rPr>
              <w:rFonts w:eastAsiaTheme="minorHAnsi"/>
              <w:kern w:val="2"/>
              <w:lang w:val="fr" w:eastAsia="fr-BE"/>
              <w14:ligatures w14:val="standardContextual"/>
            </w:rPr>
            <w:t xml:space="preserve">Contribuer à façonner le futur soutien de l’UE aux États membres. </w:t>
          </w:r>
        </w:p>
        <w:p w14:paraId="742AC2FF" w14:textId="77777777" w:rsidR="0028110A" w:rsidRPr="0028110A" w:rsidRDefault="0028110A" w:rsidP="0028110A">
          <w:pPr>
            <w:numPr>
              <w:ilvl w:val="0"/>
              <w:numId w:val="26"/>
            </w:numPr>
            <w:spacing w:after="0" w:line="259" w:lineRule="auto"/>
            <w:contextualSpacing/>
            <w:jc w:val="left"/>
            <w:rPr>
              <w:rFonts w:eastAsiaTheme="minorHAnsi"/>
              <w:kern w:val="2"/>
              <w:lang w:val="fr" w:eastAsia="fr-BE"/>
              <w14:ligatures w14:val="standardContextual"/>
            </w:rPr>
          </w:pPr>
          <w:r w:rsidRPr="0028110A">
            <w:rPr>
              <w:rFonts w:eastAsiaTheme="minorHAnsi"/>
              <w:kern w:val="2"/>
              <w:lang w:val="fr" w:eastAsia="fr-BE"/>
              <w14:ligatures w14:val="standardContextual"/>
            </w:rPr>
            <w:t>Contribuer à l’établissement de relations avec les États membres et les organisations internationales</w:t>
          </w:r>
        </w:p>
        <w:p w14:paraId="2787A201" w14:textId="77777777" w:rsidR="0028110A" w:rsidRPr="0028110A" w:rsidRDefault="0028110A" w:rsidP="0028110A">
          <w:pPr>
            <w:numPr>
              <w:ilvl w:val="0"/>
              <w:numId w:val="26"/>
            </w:numPr>
            <w:spacing w:after="0" w:line="259" w:lineRule="auto"/>
            <w:contextualSpacing/>
            <w:jc w:val="left"/>
            <w:rPr>
              <w:rFonts w:eastAsiaTheme="minorHAnsi"/>
              <w:kern w:val="2"/>
              <w:lang w:val="fr" w:eastAsia="fr-BE"/>
              <w14:ligatures w14:val="standardContextual"/>
            </w:rPr>
          </w:pPr>
          <w:r w:rsidRPr="0028110A">
            <w:rPr>
              <w:rFonts w:eastAsiaTheme="minorHAnsi"/>
              <w:kern w:val="2"/>
              <w:lang w:val="fr" w:eastAsia="fr-BE"/>
              <w14:ligatures w14:val="standardContextual"/>
            </w:rPr>
            <w:t xml:space="preserve">Faire partie d’un </w:t>
          </w:r>
          <w:r w:rsidRPr="0028110A">
            <w:rPr>
              <w:rFonts w:eastAsiaTheme="minorHAnsi"/>
              <w:b/>
              <w:kern w:val="2"/>
              <w:lang w:val="fr" w:eastAsia="fr-BE"/>
              <w14:ligatures w14:val="standardContextual"/>
            </w:rPr>
            <w:t>réseau de praticiens européens de la réforme</w:t>
          </w:r>
          <w:r w:rsidRPr="0028110A">
            <w:rPr>
              <w:rFonts w:eastAsiaTheme="minorHAnsi"/>
              <w:kern w:val="2"/>
              <w:lang w:val="fr" w:eastAsia="fr-BE"/>
              <w14:ligatures w14:val="standardContextual"/>
            </w:rPr>
            <w:t xml:space="preserve"> et être exposé à un </w:t>
          </w:r>
          <w:r w:rsidRPr="0028110A">
            <w:rPr>
              <w:rFonts w:eastAsiaTheme="minorHAnsi"/>
              <w:b/>
              <w:kern w:val="2"/>
              <w:lang w:val="fr" w:eastAsia="fr-BE"/>
              <w14:ligatures w14:val="standardContextual"/>
            </w:rPr>
            <w:t>large éventail de pratiques</w:t>
          </w:r>
          <w:r w:rsidRPr="0028110A">
            <w:rPr>
              <w:rFonts w:eastAsiaTheme="minorHAnsi"/>
              <w:kern w:val="2"/>
              <w:lang w:val="fr" w:eastAsia="fr-BE"/>
              <w14:ligatures w14:val="standardContextual"/>
            </w:rPr>
            <w:t>.</w:t>
          </w:r>
        </w:p>
        <w:p w14:paraId="195ED376" w14:textId="77777777" w:rsidR="0028110A" w:rsidRPr="0028110A" w:rsidRDefault="0028110A" w:rsidP="0028110A">
          <w:pPr>
            <w:spacing w:after="0"/>
            <w:ind w:left="360"/>
            <w:rPr>
              <w:rFonts w:eastAsiaTheme="minorHAnsi"/>
              <w:kern w:val="2"/>
              <w:lang w:val="fr" w:eastAsia="fr-BE"/>
              <w14:ligatures w14:val="standardContextual"/>
            </w:rPr>
          </w:pPr>
        </w:p>
        <w:p w14:paraId="65E31A33" w14:textId="77777777" w:rsidR="0028110A" w:rsidRPr="0028110A" w:rsidRDefault="0028110A" w:rsidP="0028110A">
          <w:pPr>
            <w:rPr>
              <w:lang w:val="fr" w:eastAsia="fr-BE"/>
            </w:rPr>
          </w:pPr>
          <w:r w:rsidRPr="0028110A">
            <w:rPr>
              <w:lang w:val="fr" w:eastAsia="fr-BE"/>
            </w:rPr>
            <w:t xml:space="preserve">L’expérience que cet expert tirera des travaux avec nous contribuera à donner à </w:t>
          </w:r>
          <w:r w:rsidRPr="0028110A">
            <w:rPr>
              <w:b/>
              <w:lang w:val="fr" w:eastAsia="fr-BE"/>
            </w:rPr>
            <w:t>votre ministère et à votre</w:t>
          </w:r>
          <w:r w:rsidRPr="0028110A">
            <w:rPr>
              <w:lang w:val="fr" w:eastAsia="fr-BE"/>
            </w:rPr>
            <w:t xml:space="preserve"> </w:t>
          </w:r>
          <w:r w:rsidRPr="0028110A">
            <w:rPr>
              <w:b/>
              <w:lang w:val="fr" w:eastAsia="fr-BE"/>
            </w:rPr>
            <w:t>pays</w:t>
          </w:r>
          <w:r w:rsidRPr="0028110A">
            <w:rPr>
              <w:lang w:val="fr" w:eastAsia="fr-BE"/>
            </w:rPr>
            <w:t xml:space="preserve"> une meilleure compréhension du contexte de l’UE, une plus grande capacité à gérer les réformes au niveau national et des connaissances spécifiques sur la manière d’identifier et de mobiliser le soutien adéquat de l’UE. Ce que nous gagnerons, c’est une meilleure compréhension des perspectives nationales lorsque nous orienterons la mise en œuvre du ComPAct. </w:t>
          </w:r>
        </w:p>
        <w:p w14:paraId="5471098B" w14:textId="77777777" w:rsidR="0028110A" w:rsidRPr="0028110A" w:rsidRDefault="0028110A" w:rsidP="0028110A">
          <w:pPr>
            <w:rPr>
              <w:lang w:val="fr" w:eastAsia="fr-BE"/>
            </w:rPr>
          </w:pPr>
          <w:r w:rsidRPr="0028110A">
            <w:rPr>
              <w:lang w:val="fr" w:eastAsia="fr-BE"/>
            </w:rPr>
            <w:t>L’adhésion au réseau européen de praticiens enrichira votre secteur et vos connaissances en matière de réforme et apportera une précieuse expérience internationale.</w:t>
          </w:r>
        </w:p>
        <w:p w14:paraId="0F87EC5F" w14:textId="77777777" w:rsidR="0028110A" w:rsidRPr="0028110A" w:rsidRDefault="0028110A" w:rsidP="0028110A">
          <w:pPr>
            <w:widowControl w:val="0"/>
            <w:spacing w:after="100"/>
            <w:rPr>
              <w:rFonts w:eastAsia="Arial"/>
              <w:lang w:val="fr" w:eastAsia="fr-BE"/>
            </w:rPr>
          </w:pPr>
          <w:r w:rsidRPr="0028110A">
            <w:rPr>
              <w:rFonts w:eastAsia="Arial"/>
              <w:lang w:val="fr" w:eastAsia="fr-BE"/>
            </w:rPr>
            <w:t xml:space="preserve">Nous proposons un poste d’expert national détaché chargé à la fois de la conception, de la mise en œuvre et du suivi de la politique de la Commission dans le domaine de la réforme de l’administration publique, ainsi que de la conception, de la mise en œuvre et du suivi des projets d’appui technique dans ce domaine d’action. Le candidat retenu contribuera, en étroite coopération avec la direction de l’unité, à mettre en œuvre le </w:t>
          </w:r>
          <w:hyperlink r:id="rId26" w:history="1">
            <w:r w:rsidRPr="0028110A">
              <w:rPr>
                <w:rFonts w:eastAsia="Arial"/>
                <w:color w:val="0563C1" w:themeColor="hyperlink"/>
                <w:u w:val="single"/>
                <w:lang w:val="fr" w:eastAsia="fr-BE"/>
              </w:rPr>
              <w:t>ComPAct</w:t>
            </w:r>
          </w:hyperlink>
          <w:r w:rsidRPr="0028110A">
            <w:rPr>
              <w:rFonts w:eastAsia="Arial"/>
              <w:lang w:val="fr" w:eastAsia="fr-BE"/>
            </w:rPr>
            <w:t xml:space="preserve"> et, ainsi, à renforcer l’espace administratif européen. Le travail couvrira les trois piliers du ComPAct, en mettant l’accent sur le pilier des compétences, en particulier en ce qui concerne l’échange avec la fonction publique, la coopération en matière de formation et la promotion des outils de gestion des ressources humaines. L’accent sera mis sur la consolidation des connaissances issues des mesures de soutien, l’amélioration de la communication autour de l’administration publique et de la gouvernance, et l’établissement de relations avec les parties prenantes dans les États membres et les organisations internationales. Cela contribuera à diffuser nos efforts sur les projets et initiatives qui ont un impact concret sur le terrain.</w:t>
          </w:r>
        </w:p>
        <w:p w14:paraId="6C83A7F0" w14:textId="77777777" w:rsidR="0028110A" w:rsidRPr="0028110A" w:rsidRDefault="0028110A" w:rsidP="0028110A">
          <w:pPr>
            <w:widowControl w:val="0"/>
            <w:spacing w:after="100"/>
            <w:rPr>
              <w:rFonts w:eastAsia="Arial"/>
              <w:lang w:val="fr" w:eastAsia="fr-BE"/>
            </w:rPr>
          </w:pPr>
        </w:p>
        <w:p w14:paraId="11CEA192" w14:textId="77777777" w:rsidR="0028110A" w:rsidRPr="0028110A" w:rsidRDefault="0028110A" w:rsidP="0028110A">
          <w:pPr>
            <w:autoSpaceDE w:val="0"/>
            <w:autoSpaceDN w:val="0"/>
            <w:adjustRightInd w:val="0"/>
            <w:spacing w:after="0"/>
            <w:rPr>
              <w:rFonts w:eastAsia="Arial"/>
              <w:color w:val="000000"/>
              <w:lang w:val="fr" w:eastAsia="fr-BE"/>
            </w:rPr>
          </w:pPr>
          <w:r w:rsidRPr="0028110A">
            <w:rPr>
              <w:lang w:val="fr" w:eastAsia="fr-BE"/>
            </w:rPr>
            <w:t xml:space="preserve">Le candidat élaborera une analyse de </w:t>
          </w:r>
          <w:r w:rsidRPr="0028110A">
            <w:rPr>
              <w:rFonts w:eastAsia="Arial"/>
              <w:color w:val="000000"/>
              <w:lang w:val="fr" w:eastAsia="fr-BE"/>
            </w:rPr>
            <w:t>l’évolution de la situation dans les domaines de l’unité, en particulier dans le domaine de l’administration publique et de la gouvernance. Le candidat travaillera sous la supervision d’un administrateur. Sans préjudice du principe de coopération loyale entre les administrations nationales/régionales et européennes, l’expert national détaché ne travaillera pas sur des cas individuels ayant des implications sur les dossiers qu’il aurait dû traiter au sein de son administration nationale au cours des deux années précédant son entrée à la Commission, ni sur des cas directement adjacents. En aucun cas, il ne représentera la Commission afin de prendre des engagements financiers ou autres, ou négocier au nom de la Commission. Le candidat soutiendra l’efficacité de la conception, de la mise en œuvre et du suivi des réformes dans le domaine de l’administration publique et de la gouvernance.</w:t>
          </w:r>
        </w:p>
        <w:p w14:paraId="3F19096C" w14:textId="77777777" w:rsidR="0028110A" w:rsidRPr="0028110A" w:rsidRDefault="0028110A" w:rsidP="0028110A">
          <w:pPr>
            <w:autoSpaceDE w:val="0"/>
            <w:autoSpaceDN w:val="0"/>
            <w:adjustRightInd w:val="0"/>
            <w:spacing w:after="0"/>
            <w:rPr>
              <w:lang w:val="fr" w:eastAsia="fr-BE"/>
            </w:rPr>
          </w:pPr>
        </w:p>
        <w:p w14:paraId="3E8B5498" w14:textId="77777777" w:rsidR="0028110A" w:rsidRPr="0028110A" w:rsidRDefault="0028110A" w:rsidP="0028110A">
          <w:pPr>
            <w:autoSpaceDE w:val="0"/>
            <w:autoSpaceDN w:val="0"/>
            <w:adjustRightInd w:val="0"/>
            <w:spacing w:after="0"/>
            <w:rPr>
              <w:rFonts w:eastAsia="Arial"/>
              <w:color w:val="000000"/>
              <w:lang w:val="fr" w:eastAsia="fr-BE"/>
            </w:rPr>
          </w:pPr>
          <w:r w:rsidRPr="0028110A">
            <w:rPr>
              <w:rFonts w:eastAsia="Arial"/>
              <w:color w:val="000000"/>
              <w:lang w:val="fr" w:eastAsia="fr-BE"/>
            </w:rPr>
            <w:t xml:space="preserve">Le candidat rédigera, coordonnera et passera en revue les notes d’information et les autres activités de communication de l’unité. </w:t>
          </w:r>
        </w:p>
        <w:p w14:paraId="02391554" w14:textId="77777777" w:rsidR="0028110A" w:rsidRPr="0028110A" w:rsidRDefault="0028110A" w:rsidP="0028110A">
          <w:pPr>
            <w:autoSpaceDE w:val="0"/>
            <w:autoSpaceDN w:val="0"/>
            <w:adjustRightInd w:val="0"/>
            <w:spacing w:after="0"/>
            <w:rPr>
              <w:rFonts w:eastAsia="Arial"/>
              <w:color w:val="000000"/>
              <w:lang w:val="fr" w:eastAsia="fr-BE"/>
            </w:rPr>
          </w:pPr>
        </w:p>
        <w:p w14:paraId="62F3DD47" w14:textId="77777777" w:rsidR="0028110A" w:rsidRPr="0028110A" w:rsidRDefault="0028110A" w:rsidP="0028110A">
          <w:pPr>
            <w:autoSpaceDE w:val="0"/>
            <w:autoSpaceDN w:val="0"/>
            <w:adjustRightInd w:val="0"/>
            <w:spacing w:after="0"/>
            <w:rPr>
              <w:rFonts w:eastAsia="Arial"/>
              <w:color w:val="000000"/>
              <w:lang w:val="fr" w:eastAsia="fr-BE"/>
            </w:rPr>
          </w:pPr>
          <w:r w:rsidRPr="0028110A">
            <w:rPr>
              <w:rFonts w:eastAsia="Arial"/>
              <w:color w:val="000000"/>
              <w:lang w:val="fr" w:eastAsia="fr-BE"/>
            </w:rPr>
            <w:t>Le poste est initialement vacant pour un an, avec possibilité de prolongation sur la base d’un accord mutuel. La durée maximale du détachement est de quatre ans.</w:t>
          </w:r>
        </w:p>
        <w:p w14:paraId="3B1D2FA2" w14:textId="407CDB9D" w:rsidR="001A0074" w:rsidRPr="00080A71" w:rsidRDefault="0063561E"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bookmarkStart w:id="1" w:name="_Hlk178860069" w:displacedByCustomXml="prev"/>
        <w:p w14:paraId="7A05BA61" w14:textId="77777777" w:rsidR="0028110A" w:rsidRPr="0028110A" w:rsidRDefault="0028110A" w:rsidP="0028110A">
          <w:pPr>
            <w:pStyle w:val="P68B1DB1-Normal5"/>
            <w:autoSpaceDE w:val="0"/>
            <w:autoSpaceDN w:val="0"/>
            <w:adjustRightInd w:val="0"/>
            <w:spacing w:after="0" w:line="240" w:lineRule="auto"/>
            <w:jc w:val="both"/>
            <w:rPr>
              <w:rFonts w:eastAsia="Arial"/>
              <w:color w:val="000000"/>
              <w:szCs w:val="24"/>
            </w:rPr>
          </w:pPr>
          <w:r w:rsidRPr="0028110A">
            <w:rPr>
              <w:color w:val="000000"/>
              <w:szCs w:val="24"/>
            </w:rPr>
            <w:t>Nous recherchons un candidat très motivé, proactif et expérimenté</w:t>
          </w:r>
          <w:r w:rsidRPr="0028110A">
            <w:rPr>
              <w:rFonts w:eastAsia="Arial"/>
              <w:color w:val="000000"/>
              <w:szCs w:val="24"/>
            </w:rPr>
            <w:t>.</w:t>
          </w:r>
        </w:p>
        <w:p w14:paraId="48CC0EDA" w14:textId="77777777" w:rsidR="0028110A" w:rsidRPr="0028110A" w:rsidRDefault="0028110A" w:rsidP="0028110A">
          <w:pPr>
            <w:autoSpaceDE w:val="0"/>
            <w:autoSpaceDN w:val="0"/>
            <w:adjustRightInd w:val="0"/>
            <w:spacing w:after="0"/>
            <w:rPr>
              <w:rFonts w:eastAsia="Arial"/>
              <w:color w:val="000000"/>
              <w:szCs w:val="24"/>
              <w:lang w:val="fr" w:eastAsia="fr-BE"/>
            </w:rPr>
          </w:pPr>
        </w:p>
        <w:p w14:paraId="5762A586" w14:textId="77777777" w:rsidR="0028110A" w:rsidRPr="0028110A" w:rsidRDefault="0028110A" w:rsidP="0028110A">
          <w:pPr>
            <w:autoSpaceDE w:val="0"/>
            <w:autoSpaceDN w:val="0"/>
            <w:adjustRightInd w:val="0"/>
            <w:spacing w:after="0"/>
            <w:rPr>
              <w:rFonts w:eastAsia="Arial"/>
              <w:color w:val="000000"/>
              <w:szCs w:val="24"/>
              <w:lang w:val="fr" w:eastAsia="fr-BE"/>
            </w:rPr>
          </w:pPr>
          <w:r w:rsidRPr="0028110A">
            <w:rPr>
              <w:rFonts w:eastAsia="Arial"/>
              <w:color w:val="000000"/>
              <w:szCs w:val="24"/>
              <w:lang w:val="fr" w:eastAsia="fr-BE"/>
            </w:rPr>
            <w:t>Nous recherchons un expert national détaché possédant une solide expérience et une expérience avérée dans l’élaboration de politiques et la gestion de projets. Le candidat retenu devra également posséder de solides compétences analytiques, de bonnes capacités de communication, d’excellentes capacités rédactionnelles en anglais et un bon jugement politique. Une expérience liées aux réformes administratives et à la la politique de l’UE dans le domaine de l’administration publique serait considérée comme un atout majeur. Des connaissances de l’administration publique dans l’UE seraient un atout.</w:t>
          </w:r>
        </w:p>
        <w:p w14:paraId="7E74E7D5" w14:textId="77777777" w:rsidR="0028110A" w:rsidRPr="0028110A" w:rsidRDefault="0028110A" w:rsidP="0028110A">
          <w:pPr>
            <w:autoSpaceDE w:val="0"/>
            <w:autoSpaceDN w:val="0"/>
            <w:adjustRightInd w:val="0"/>
            <w:spacing w:after="0"/>
            <w:rPr>
              <w:rFonts w:eastAsia="Arial"/>
              <w:color w:val="000000"/>
              <w:szCs w:val="24"/>
              <w:lang w:val="fr" w:eastAsia="fr-BE"/>
            </w:rPr>
          </w:pPr>
        </w:p>
        <w:p w14:paraId="65EED4A2" w14:textId="77777777" w:rsidR="0028110A" w:rsidRPr="0028110A" w:rsidRDefault="0028110A" w:rsidP="0028110A">
          <w:pPr>
            <w:autoSpaceDE w:val="0"/>
            <w:autoSpaceDN w:val="0"/>
            <w:adjustRightInd w:val="0"/>
            <w:spacing w:after="0"/>
            <w:rPr>
              <w:rFonts w:eastAsia="Arial"/>
              <w:color w:val="000000"/>
              <w:szCs w:val="24"/>
              <w:lang w:val="fr" w:eastAsia="fr-BE"/>
            </w:rPr>
          </w:pPr>
          <w:r w:rsidRPr="0028110A">
            <w:rPr>
              <w:rFonts w:eastAsia="Arial"/>
              <w:color w:val="000000"/>
              <w:szCs w:val="24"/>
              <w:lang w:val="fr" w:eastAsia="fr-BE"/>
            </w:rPr>
            <w:t>Le candidat doit avoir la capacité d’organiser et de fournir un travail de qualité en temps utile pour l’unité et être en mesure de traiter des questions et des projets d’appui technique complexes.</w:t>
          </w:r>
        </w:p>
        <w:p w14:paraId="1660273E" w14:textId="77777777" w:rsidR="0028110A" w:rsidRPr="0028110A" w:rsidRDefault="0028110A" w:rsidP="0028110A">
          <w:pPr>
            <w:autoSpaceDE w:val="0"/>
            <w:autoSpaceDN w:val="0"/>
            <w:adjustRightInd w:val="0"/>
            <w:spacing w:after="0"/>
            <w:rPr>
              <w:rFonts w:eastAsia="Arial"/>
              <w:color w:val="000000"/>
              <w:szCs w:val="24"/>
              <w:lang w:val="fr" w:eastAsia="fr-BE"/>
            </w:rPr>
          </w:pPr>
        </w:p>
        <w:p w14:paraId="01CE2794" w14:textId="77777777" w:rsidR="0028110A" w:rsidRPr="0028110A" w:rsidRDefault="0028110A" w:rsidP="0028110A">
          <w:pPr>
            <w:autoSpaceDE w:val="0"/>
            <w:autoSpaceDN w:val="0"/>
            <w:adjustRightInd w:val="0"/>
            <w:spacing w:after="0"/>
            <w:rPr>
              <w:rFonts w:eastAsia="Arial"/>
              <w:color w:val="000000"/>
              <w:szCs w:val="24"/>
              <w:lang w:val="fr" w:eastAsia="fr-BE"/>
            </w:rPr>
          </w:pPr>
          <w:r w:rsidRPr="0028110A">
            <w:rPr>
              <w:rFonts w:eastAsia="Arial"/>
              <w:color w:val="000000"/>
              <w:szCs w:val="24"/>
              <w:lang w:val="fr" w:eastAsia="fr-BE"/>
            </w:rPr>
            <w:t>Le candidat idéal est un collègue engagé et enthousiaste, doté d’un bon sens des responsabilités et de l’initiative, soucieux du service, capable de donner la priorité au travail et prêt à travailler dans un environnement difficile.</w:t>
          </w:r>
        </w:p>
        <w:p w14:paraId="5CD11921" w14:textId="77777777" w:rsidR="0028110A" w:rsidRPr="0028110A" w:rsidRDefault="0028110A" w:rsidP="0028110A">
          <w:pPr>
            <w:autoSpaceDE w:val="0"/>
            <w:autoSpaceDN w:val="0"/>
            <w:adjustRightInd w:val="0"/>
            <w:spacing w:after="0"/>
            <w:rPr>
              <w:rFonts w:eastAsia="Arial"/>
              <w:color w:val="000000"/>
              <w:szCs w:val="24"/>
              <w:lang w:val="fr" w:eastAsia="fr-BE"/>
            </w:rPr>
          </w:pPr>
        </w:p>
        <w:p w14:paraId="5CBDE1F4" w14:textId="77777777" w:rsidR="0028110A" w:rsidRPr="0028110A" w:rsidRDefault="0028110A" w:rsidP="0028110A">
          <w:pPr>
            <w:autoSpaceDE w:val="0"/>
            <w:autoSpaceDN w:val="0"/>
            <w:adjustRightInd w:val="0"/>
            <w:spacing w:after="0"/>
            <w:rPr>
              <w:rFonts w:eastAsia="Arial"/>
              <w:color w:val="000000"/>
              <w:szCs w:val="24"/>
              <w:lang w:val="fr" w:eastAsia="fr-BE"/>
            </w:rPr>
          </w:pPr>
          <w:r w:rsidRPr="0028110A">
            <w:rPr>
              <w:rFonts w:eastAsia="Arial"/>
              <w:color w:val="000000"/>
              <w:szCs w:val="24"/>
              <w:lang w:val="fr" w:eastAsia="fr-BE"/>
            </w:rPr>
            <w:t>Connaissances linguistiques:</w:t>
          </w:r>
        </w:p>
        <w:p w14:paraId="7B922BBF" w14:textId="77777777" w:rsidR="0028110A" w:rsidRPr="0028110A" w:rsidRDefault="0028110A" w:rsidP="0028110A">
          <w:pPr>
            <w:autoSpaceDE w:val="0"/>
            <w:autoSpaceDN w:val="0"/>
            <w:adjustRightInd w:val="0"/>
            <w:spacing w:after="0"/>
            <w:rPr>
              <w:rFonts w:eastAsia="Arial"/>
              <w:color w:val="000000"/>
              <w:lang w:val="fr" w:eastAsia="fr-BE"/>
            </w:rPr>
          </w:pPr>
          <w:r w:rsidRPr="0028110A">
            <w:rPr>
              <w:rFonts w:eastAsia="Arial"/>
              <w:color w:val="000000"/>
              <w:lang w:val="fr" w:eastAsia="fr-BE"/>
            </w:rPr>
            <w:t>La capacité à rédiger et à communiquer efficacement en anglais est essentielle. La connaissance des langues d’autres États membres serait avantageuse.</w:t>
          </w:r>
          <w:bookmarkEnd w:id="1"/>
        </w:p>
        <w:p w14:paraId="7E409EA7" w14:textId="31A543FC" w:rsidR="001A0074" w:rsidRPr="00017FBA" w:rsidRDefault="0063561E" w:rsidP="0028110A">
          <w:pPr>
            <w:pStyle w:val="P68B1DB1-Normal5"/>
            <w:autoSpaceDE w:val="0"/>
            <w:autoSpaceDN w:val="0"/>
            <w:adjustRightInd w:val="0"/>
            <w:spacing w:after="0" w:line="240" w:lineRule="auto"/>
            <w:jc w:val="both"/>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lastRenderedPageBreak/>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lastRenderedPageBreak/>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1C6F9C"/>
    <w:multiLevelType w:val="hybridMultilevel"/>
    <w:tmpl w:val="DCB4A4A2"/>
    <w:lvl w:ilvl="0" w:tplc="7E088208">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3"/>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4"/>
  </w:num>
  <w:num w:numId="15" w16cid:durableId="1021391429">
    <w:abstractNumId w:val="17"/>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25841349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50E5"/>
    <w:rsid w:val="00017FBA"/>
    <w:rsid w:val="00080A71"/>
    <w:rsid w:val="000914BF"/>
    <w:rsid w:val="00097587"/>
    <w:rsid w:val="001A0074"/>
    <w:rsid w:val="001D3EEC"/>
    <w:rsid w:val="001D5723"/>
    <w:rsid w:val="00215A56"/>
    <w:rsid w:val="002608DB"/>
    <w:rsid w:val="0028110A"/>
    <w:rsid w:val="0028413D"/>
    <w:rsid w:val="002841B7"/>
    <w:rsid w:val="002A6E30"/>
    <w:rsid w:val="002B37EB"/>
    <w:rsid w:val="00301CA3"/>
    <w:rsid w:val="00341FB5"/>
    <w:rsid w:val="00377580"/>
    <w:rsid w:val="00394581"/>
    <w:rsid w:val="00443957"/>
    <w:rsid w:val="00462268"/>
    <w:rsid w:val="004A35C4"/>
    <w:rsid w:val="004A4BB7"/>
    <w:rsid w:val="004D3B51"/>
    <w:rsid w:val="005205D6"/>
    <w:rsid w:val="0053405E"/>
    <w:rsid w:val="00556CBD"/>
    <w:rsid w:val="0063561E"/>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F389A"/>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customStyle="1" w:styleId="P68B1DB1-Normal1">
    <w:name w:val="P68B1DB1-Normal1"/>
    <w:basedOn w:val="Normal"/>
    <w:rsid w:val="0028110A"/>
    <w:pPr>
      <w:spacing w:after="160" w:line="259" w:lineRule="auto"/>
      <w:jc w:val="left"/>
    </w:pPr>
    <w:rPr>
      <w:rFonts w:eastAsiaTheme="minorHAnsi"/>
      <w:kern w:val="2"/>
      <w:lang w:val="fr" w:eastAsia="fr-BE"/>
      <w14:ligatures w14:val="standardContextual"/>
    </w:rPr>
  </w:style>
  <w:style w:type="paragraph" w:customStyle="1" w:styleId="P68B1DB1-Normal2">
    <w:name w:val="P68B1DB1-Normal2"/>
    <w:basedOn w:val="Normal"/>
    <w:rsid w:val="0028110A"/>
    <w:pPr>
      <w:spacing w:after="160" w:line="259" w:lineRule="auto"/>
      <w:jc w:val="left"/>
    </w:pPr>
    <w:rPr>
      <w:rFonts w:eastAsiaTheme="minorHAnsi"/>
      <w:b/>
      <w:kern w:val="2"/>
      <w:lang w:val="fr" w:eastAsia="fr-BE"/>
      <w14:ligatures w14:val="standardContextual"/>
    </w:rPr>
  </w:style>
  <w:style w:type="paragraph" w:customStyle="1" w:styleId="P68B1DB1-Normal5">
    <w:name w:val="P68B1DB1-Normal5"/>
    <w:basedOn w:val="Normal"/>
    <w:rsid w:val="0028110A"/>
    <w:pPr>
      <w:spacing w:after="160" w:line="259" w:lineRule="auto"/>
      <w:jc w:val="left"/>
    </w:pPr>
    <w:rPr>
      <w:rFonts w:asciiTheme="minorHAnsi" w:eastAsiaTheme="minorHAnsi" w:hAnsiTheme="minorHAnsi" w:cstheme="minorBidi"/>
      <w:lang w:val="fr"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reform-support.ec.europa.eu/public-administration-and-governance-coordination/enhancing-european-administrative-space-compact_en" TargetMode="External"/><Relationship Id="rId21" Type="http://schemas.openxmlformats.org/officeDocument/2006/relationships/control" Target="activeX/activeX4.xml"/><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F35F11"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 w:val="00F00294"/>
    <w:rsid w:val="00F35F1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TaxCatchAll xmlns="c15b8bef-fec4-49de-80c3-0216d7002940" xsi:nil="true"/>
    <lcf76f155ced4ddcb4097134ff3c332f xmlns="91a4a8f5-e5a0-4356-a747-1da2590d02df">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AF8F28B827CE94894D5D4332A350A57" ma:contentTypeVersion="15" ma:contentTypeDescription="Create a new document." ma:contentTypeScope="" ma:versionID="21ae9c3c84b0bad3cc33cca37ab5bbc6">
  <xsd:schema xmlns:xsd="http://www.w3.org/2001/XMLSchema" xmlns:xs="http://www.w3.org/2001/XMLSchema" xmlns:p="http://schemas.microsoft.com/office/2006/metadata/properties" xmlns:ns2="91a4a8f5-e5a0-4356-a747-1da2590d02df" xmlns:ns3="7058b7d0-6f54-43d0-ac9b-f95b90dfb0dc" xmlns:ns4="c15b8bef-fec4-49de-80c3-0216d7002940" targetNamespace="http://schemas.microsoft.com/office/2006/metadata/properties" ma:root="true" ma:fieldsID="4ed5e298d9ec9bcd3e09b2d178cb3dd8" ns2:_="" ns3:_="" ns4:_="">
    <xsd:import namespace="91a4a8f5-e5a0-4356-a747-1da2590d02df"/>
    <xsd:import namespace="7058b7d0-6f54-43d0-ac9b-f95b90dfb0dc"/>
    <xsd:import namespace="c15b8bef-fec4-49de-80c3-0216d700294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4: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a4a8f5-e5a0-4356-a747-1da2590d02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058b7d0-6f54-43d0-ac9b-f95b90dfb0d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5b8bef-fec4-49de-80c3-0216d700294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df8f4281-76ac-41ee-83dc-ac7485883bf2}" ma:internalName="TaxCatchAll" ma:showField="CatchAllData" ma:web="c15b8bef-fec4-49de-80c3-0216d70029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96294769-8835-4E0B-B073-CD63E70CF78F}">
  <ds:schemaRefs>
    <ds:schemaRef ds:uri="http://schemas.microsoft.com/office/2006/metadata/properties"/>
    <ds:schemaRef ds:uri="http://schemas.microsoft.com/office/infopath/2007/PartnerControls"/>
    <ds:schemaRef ds:uri="8317c19e-cca4-4512-9863-f90a54efb938"/>
    <ds:schemaRef ds:uri="8cfcfa01-37a5-4fff-8044-c3e383911877"/>
    <ds:schemaRef ds:uri="c15b8bef-fec4-49de-80c3-0216d7002940"/>
    <ds:schemaRef ds:uri="91a4a8f5-e5a0-4356-a747-1da2590d02df"/>
  </ds:schemaRefs>
</ds:datastoreItem>
</file>

<file path=customXml/itemProps3.xml><?xml version="1.0" encoding="utf-8"?>
<ds:datastoreItem xmlns:ds="http://schemas.openxmlformats.org/officeDocument/2006/customXml" ds:itemID="{F5D9BB9D-F9DF-4EE3-A46A-90C877D20793}">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36DD9940-506B-4B60-8DFD-852114ECD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a4a8f5-e5a0-4356-a747-1da2590d02df"/>
    <ds:schemaRef ds:uri="7058b7d0-6f54-43d0-ac9b-f95b90dfb0dc"/>
    <ds:schemaRef ds:uri="c15b8bef-fec4-49de-80c3-0216d70029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6</Pages>
  <Words>2031</Words>
  <Characters>11578</Characters>
  <Application>Microsoft Office Word</Application>
  <DocSecurity>4</DocSecurity>
  <PresentationFormat>Microsoft Word 14.0</PresentationFormat>
  <Lines>96</Lines>
  <Paragraphs>27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2024-10-11T14:14:00Z</dcterms:created>
  <dcterms:modified xsi:type="dcterms:W3CDTF">2024-10-11T14:14:00Z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0x010100A158F09D77E9BC4EBEE767EA46BE9E8C</vt:lpwstr>
  </property>
  <property fmtid="{D5CDD505-2E9C-101B-9397-08002B2CF9AE}" pid="10" name="MediaServiceImageTags">
    <vt:lpwstr/>
  </property>
</Properties>
</file>