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1F1132">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sdt>
              <w:sdtPr>
                <w:rPr>
                  <w:lang w:val="en-IE" w:eastAsia="en-GB"/>
                </w:rPr>
                <w:id w:val="81880061"/>
                <w:placeholder>
                  <w:docPart w:val="BAFBEE454D8749918CAC0ED6F603267A"/>
                </w:placeholder>
              </w:sdtPr>
              <w:sdtEndPr>
                <w:rPr>
                  <w:bCs/>
                </w:rPr>
              </w:sdtEndPr>
              <w:sdtContent>
                <w:sdt>
                  <w:sdtPr>
                    <w:rPr>
                      <w:lang w:val="en-IE" w:eastAsia="en-GB"/>
                    </w:rPr>
                    <w:id w:val="748160043"/>
                    <w:placeholder>
                      <w:docPart w:val="602106C22DA14F67A8578E902E8163E1"/>
                    </w:placeholder>
                  </w:sdtPr>
                  <w:sdtEndPr>
                    <w:rPr>
                      <w:bCs/>
                    </w:rPr>
                  </w:sdtEndPr>
                  <w:sdtContent>
                    <w:tc>
                      <w:tcPr>
                        <w:tcW w:w="5491" w:type="dxa"/>
                      </w:tcPr>
                      <w:p w14:paraId="26B6BD75" w14:textId="1CD744FD" w:rsidR="00C32511" w:rsidRDefault="007C1207">
                        <w:pPr>
                          <w:tabs>
                            <w:tab w:val="left" w:pos="426"/>
                          </w:tabs>
                          <w:spacing w:before="120"/>
                        </w:pPr>
                        <w:r>
                          <w:rPr>
                            <w:b/>
                            <w:bCs/>
                            <w:lang w:val="en-US"/>
                          </w:rPr>
                          <w:t>368963</w:t>
                        </w:r>
                        <w:r>
                          <w:rPr>
                            <w:lang w:val="en-US"/>
                          </w:rPr>
                          <w:t> </w:t>
                        </w:r>
                      </w:p>
                    </w:tc>
                  </w:sdtContent>
                </w:sdt>
              </w:sdtContent>
            </w:sdt>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proofErr w:type="spellStart"/>
                <w:r>
                  <w:rPr>
                    <w:rStyle w:val="Strong"/>
                    <w:rFonts w:ascii="Verdana" w:hAnsi="Verdana"/>
                    <w:color w:val="666666"/>
                    <w:sz w:val="19"/>
                    <w:shd w:val="clear" w:color="auto" w:fill="FFFFFF"/>
                  </w:rPr>
                  <w:t>Kainz-HUBER</w:t>
                </w:r>
                <w:proofErr w:type="spellEnd"/>
                <w:r>
                  <w:rPr>
                    <w:rFonts w:ascii="Verdana" w:hAnsi="Verdana"/>
                    <w:color w:val="666666"/>
                    <w:sz w:val="19"/>
                    <w:shd w:val="clear" w:color="auto" w:fill="FFFFFF"/>
                  </w:rPr>
                  <w:t xml:space="preserve"> Sylvia</w:t>
                </w:r>
              </w:p>
            </w:sdtContent>
          </w:sdt>
          <w:p w14:paraId="34CF737A" w14:textId="596AA606" w:rsidR="00C32511" w:rsidRDefault="001F1132">
            <w:pPr>
              <w:tabs>
                <w:tab w:val="left" w:pos="426"/>
              </w:tabs>
              <w:contextualSpacing/>
            </w:pPr>
            <w:sdt>
              <w:sdtPr>
                <w:rPr>
                  <w:bCs/>
                  <w:lang w:val="en-IE" w:eastAsia="en-GB"/>
                </w:rPr>
                <w:id w:val="1175461244"/>
                <w:placeholder>
                  <w:docPart w:val="DefaultPlaceholder_-1854013440"/>
                </w:placeholder>
              </w:sdtPr>
              <w:sdtEndPr/>
              <w:sdtContent>
                <w:r w:rsidR="00FD2693">
                  <w:t>4</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1F1132">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5006BDE5"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55AC43C1" w:rsidR="00C32511" w:rsidRDefault="0086524B">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1F1132">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1F1132">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1F1132">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3DC66AC1" w:rsidR="00C32511" w:rsidRDefault="0086524B">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2BBF010C" w:rsidR="00C32511" w:rsidRDefault="0086524B">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Referent rüstungsindustriepolitik</w:t>
          </w:r>
        </w:p>
        <w:p w14:paraId="294CEBF7"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Der abgeordnete nationale Experte wird unter der Aufsicht eines Kommissionsbeamten arbeiten. Unbeschadet des Grundsatzes der loyalen Zusammenarbeit zwischen den nationalen/regionalen oder lokalen Verwaltungen und der Kommission lässt er/sie sich bei der Erfüllung seiner/ihrer Aufgaben und in seinem/ihrem Verhalten ausschließlich von den Interessen der Europäischen Union leiten. Der abgeordnete nationale Experte vertritt die Kommission nicht im Hinblick auf das Eingehen finanzieller oder sonstiger Verpflichtungen und verhandelt nicht in ihrem Namen.</w:t>
          </w:r>
        </w:p>
        <w:p w14:paraId="07052678" w14:textId="77777777" w:rsidR="007C1207" w:rsidRPr="007C1207" w:rsidRDefault="007C1207" w:rsidP="007C1207">
          <w:pPr>
            <w:pStyle w:val="P68B1DB1-ListParagraph2"/>
            <w:autoSpaceDE w:val="0"/>
            <w:autoSpaceDN w:val="0"/>
            <w:adjustRightInd w:val="0"/>
            <w:spacing w:after="0"/>
            <w:rPr>
              <w:rFonts w:eastAsia="Times New Roman"/>
            </w:rPr>
          </w:pPr>
        </w:p>
        <w:p w14:paraId="6BA184DC"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Insgesamt besteht das Ziel darin, einen Beitrag zur Umsetzung der europäischen Verteidigungsprogramme zu leisten, einschließlich des Europäischen Verteidigungsfonds und anderer Programme der Verteidigungsindustrie.</w:t>
          </w:r>
        </w:p>
        <w:p w14:paraId="2E72DFC3" w14:textId="77777777" w:rsidR="007C1207" w:rsidRPr="007C1207" w:rsidRDefault="007C1207" w:rsidP="007C1207">
          <w:pPr>
            <w:pStyle w:val="P68B1DB1-ListParagraph2"/>
            <w:autoSpaceDE w:val="0"/>
            <w:autoSpaceDN w:val="0"/>
            <w:adjustRightInd w:val="0"/>
            <w:spacing w:after="0"/>
            <w:rPr>
              <w:rFonts w:eastAsia="Times New Roman"/>
            </w:rPr>
          </w:pPr>
        </w:p>
        <w:p w14:paraId="07FF0ECA"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Dies beinhaltet insbesondere Folgendes:</w:t>
          </w:r>
        </w:p>
        <w:p w14:paraId="5EE711C7" w14:textId="77777777" w:rsidR="007C1207" w:rsidRPr="007C1207" w:rsidRDefault="007C1207" w:rsidP="007C1207">
          <w:pPr>
            <w:pStyle w:val="P68B1DB1-ListParagraph2"/>
            <w:autoSpaceDE w:val="0"/>
            <w:autoSpaceDN w:val="0"/>
            <w:adjustRightInd w:val="0"/>
            <w:spacing w:after="0"/>
            <w:rPr>
              <w:rFonts w:eastAsia="Times New Roman"/>
            </w:rPr>
          </w:pPr>
        </w:p>
        <w:p w14:paraId="61A1FA8C"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Beitrag zu Aktivitäten zur Erhöhung der Beteiligung von KMU an den von der GD DEFIS verwalteten Programmen für die Verteidigungsindustrie und zur Gewinnung von Neueinsteigern in der Verteidigungsindustrie durch diese Programme (einschließlich z.B. Matchmaking, Business Coaching);</w:t>
          </w:r>
        </w:p>
        <w:p w14:paraId="1E15C559"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Beitrag zur Einrichtung neuer Innovationsmaßnahmen, die darauf abzielen, KMU anzuziehen;</w:t>
          </w:r>
        </w:p>
        <w:p w14:paraId="44409DCE"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xml:space="preserve">- Beitrag zu und Organisation von Outreach-Aktivitäten, die sich an potenzielle Bewerber im Rahmen der von der GD DEFIS verwalteten Programme für die Verteidigungsindustrie richten, einschließlich nationaler und EU-Informationstage und -sitzungen, Teilnahme an Verteidigungsausstellungen sowie an Veranstaltungen für nicht-traditionelle Akteure der Verteidigungsindustrie;  </w:t>
          </w:r>
        </w:p>
        <w:p w14:paraId="749281D4" w14:textId="09E08154" w:rsidR="003B3258" w:rsidRDefault="007C1207" w:rsidP="007C1207">
          <w:pPr>
            <w:pStyle w:val="P68B1DB1-ListParagraph2"/>
            <w:autoSpaceDE w:val="0"/>
            <w:autoSpaceDN w:val="0"/>
            <w:adjustRightInd w:val="0"/>
            <w:spacing w:after="0" w:line="240" w:lineRule="auto"/>
            <w:ind w:left="0"/>
            <w:jc w:val="both"/>
          </w:pPr>
          <w:r w:rsidRPr="007C1207">
            <w:rPr>
              <w:rFonts w:eastAsia="Times New Roman"/>
            </w:rPr>
            <w:t>- Unterstützung der Kommissionsmitarbeiter bei der weiteren Stärkung der Aktivitäten des Netzwerks der nationalen EEF-Anlaufstellen und des Netzwerks der verteidigungsbezogenen Regionen.</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t xml:space="preserve">Hochschulabschluss oder </w:t>
          </w:r>
        </w:p>
        <w:p w14:paraId="495B7C08" w14:textId="77777777" w:rsidR="00C32511" w:rsidRDefault="0086524B">
          <w:pPr>
            <w:tabs>
              <w:tab w:val="left" w:pos="709"/>
            </w:tabs>
            <w:spacing w:after="0"/>
            <w:ind w:right="1317"/>
          </w:pPr>
          <w:r>
            <w:lastRenderedPageBreak/>
            <w:t>Berufsausbildung oder gleichwertige Berufserfahrung</w:t>
          </w:r>
        </w:p>
        <w:p w14:paraId="55B209C2" w14:textId="77777777" w:rsidR="00C32511" w:rsidRDefault="00C32511">
          <w:pPr>
            <w:tabs>
              <w:tab w:val="left" w:pos="709"/>
            </w:tabs>
            <w:spacing w:after="0"/>
            <w:ind w:left="709" w:right="1317"/>
          </w:pPr>
        </w:p>
        <w:p w14:paraId="2A2D42ED" w14:textId="5AD78AF5" w:rsidR="00C32511" w:rsidRDefault="007C1207">
          <w:pPr>
            <w:tabs>
              <w:tab w:val="left" w:pos="709"/>
            </w:tabs>
            <w:spacing w:after="0"/>
            <w:ind w:right="60"/>
          </w:pPr>
          <w:r w:rsidRPr="007C1207">
            <w:t>in einem Bereich, der potenziell mit der Verteidigungsindustrie und dem Aufbau von Kapazitäten zusammenhängt</w:t>
          </w:r>
          <w:r w:rsidR="0086524B">
            <w:t>.</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185C2B7A" w14:textId="77777777" w:rsidR="004340C4" w:rsidRDefault="004340C4" w:rsidP="004340C4">
          <w:pPr>
            <w:tabs>
              <w:tab w:val="left" w:pos="709"/>
            </w:tabs>
            <w:spacing w:after="0"/>
            <w:ind w:right="60"/>
          </w:pPr>
          <w:r>
            <w:t>Ausgeprägte Erfahrung (3 bis 5 Jahre) in:</w:t>
          </w:r>
        </w:p>
        <w:p w14:paraId="22FCB925" w14:textId="77777777" w:rsidR="004340C4" w:rsidRDefault="004340C4" w:rsidP="004340C4">
          <w:pPr>
            <w:tabs>
              <w:tab w:val="left" w:pos="709"/>
            </w:tabs>
            <w:spacing w:after="0"/>
            <w:ind w:right="60"/>
          </w:pPr>
        </w:p>
        <w:p w14:paraId="55637E50" w14:textId="77777777" w:rsidR="007C1207" w:rsidRDefault="007C1207" w:rsidP="007C1207">
          <w:pPr>
            <w:tabs>
              <w:tab w:val="left" w:pos="709"/>
            </w:tabs>
            <w:spacing w:after="0"/>
            <w:ind w:right="60"/>
          </w:pPr>
          <w:r>
            <w:t xml:space="preserve">a) Vorbereitung und/oder Umsetzung von Programmen und Projekten im Bereich Verteidigung (einschließlich F&amp;E) auf nationaler, multilateraler oder europäischer Ebene; </w:t>
          </w:r>
        </w:p>
        <w:p w14:paraId="64F1975B" w14:textId="77777777" w:rsidR="007C1207" w:rsidRDefault="007C1207" w:rsidP="007C1207">
          <w:pPr>
            <w:tabs>
              <w:tab w:val="left" w:pos="709"/>
            </w:tabs>
            <w:spacing w:after="0"/>
            <w:ind w:right="60"/>
          </w:pPr>
        </w:p>
        <w:p w14:paraId="23486529" w14:textId="77777777" w:rsidR="007C1207" w:rsidRDefault="007C1207" w:rsidP="007C1207">
          <w:pPr>
            <w:tabs>
              <w:tab w:val="left" w:pos="709"/>
            </w:tabs>
            <w:spacing w:after="0"/>
            <w:ind w:right="60"/>
          </w:pPr>
          <w:r>
            <w:t>b) Unterstützung bei der Entwicklung und Umsetzung von Maßnahmen, die darauf abzielen, die Beteiligung von KMU an FuE-Programmen zu fördern;</w:t>
          </w:r>
        </w:p>
        <w:p w14:paraId="2B5DAD56" w14:textId="77777777" w:rsidR="007C1207" w:rsidRDefault="007C1207" w:rsidP="007C1207">
          <w:pPr>
            <w:tabs>
              <w:tab w:val="left" w:pos="709"/>
            </w:tabs>
            <w:spacing w:after="0"/>
            <w:ind w:right="60"/>
          </w:pPr>
        </w:p>
        <w:p w14:paraId="25DD86D4" w14:textId="0D9816FC" w:rsidR="004340C4" w:rsidRDefault="007C1207" w:rsidP="007C1207">
          <w:pPr>
            <w:tabs>
              <w:tab w:val="left" w:pos="709"/>
            </w:tabs>
            <w:spacing w:after="0"/>
            <w:ind w:right="60"/>
          </w:pPr>
          <w:r>
            <w:t>c) Vorbereitung und Organisation von Informationsveranstaltungen im Verteidigungsbereich und/oder im Bereich F&amp;E;</w:t>
          </w:r>
        </w:p>
        <w:p w14:paraId="3E8A3BFF" w14:textId="77777777" w:rsidR="004340C4" w:rsidRDefault="004340C4" w:rsidP="004340C4">
          <w:pPr>
            <w:tabs>
              <w:tab w:val="left" w:pos="709"/>
            </w:tabs>
            <w:spacing w:after="0"/>
            <w:ind w:right="60"/>
          </w:pPr>
        </w:p>
        <w:p w14:paraId="582C7C54" w14:textId="77777777" w:rsidR="004340C4" w:rsidRDefault="004340C4" w:rsidP="004340C4">
          <w:pPr>
            <w:tabs>
              <w:tab w:val="left" w:pos="709"/>
            </w:tabs>
            <w:spacing w:after="0"/>
            <w:ind w:right="60"/>
          </w:pPr>
          <w:r>
            <w:t>Gute redaktionelle Fähigkeiten, Teamfähigkeit und Termintreue werden vorausgesetzt. Gute Präsentationsfähigkeiten unter Verwendung von Excel und PowerPoint wären von Vorteil.</w:t>
          </w:r>
        </w:p>
        <w:p w14:paraId="3DAA826D" w14:textId="77777777" w:rsidR="004340C4" w:rsidRDefault="004340C4" w:rsidP="004340C4">
          <w:pPr>
            <w:tabs>
              <w:tab w:val="left" w:pos="709"/>
            </w:tabs>
            <w:spacing w:after="0"/>
            <w:ind w:right="60"/>
          </w:pPr>
        </w:p>
        <w:p w14:paraId="7B2071F0" w14:textId="11ABE078" w:rsidR="00C32511" w:rsidRDefault="004340C4" w:rsidP="004340C4">
          <w:pPr>
            <w:tabs>
              <w:tab w:val="left" w:pos="709"/>
            </w:tabs>
            <w:spacing w:after="0"/>
            <w:ind w:right="60"/>
          </w:pPr>
          <w:r>
            <w:t>Die Stelle setzt voraus, dass Sie im Besitz einer gültigen Sicherheitsüberprüfung (PSC) auf EU-Geheimhaltungsstufe sind</w:t>
          </w:r>
          <w:r w:rsidR="0086524B">
            <w:t>.</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1F1132"/>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t>Zulassungskriterien</w:t>
      </w:r>
    </w:p>
    <w:p w14:paraId="4351CD9B" w14:textId="329965A0" w:rsidR="00C32511" w:rsidRDefault="0086524B">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w:t>
      </w:r>
      <w:r>
        <w:lastRenderedPageBreak/>
        <w:t>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lastRenderedPageBreak/>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1F1132"/>
    <w:rsid w:val="002109E6"/>
    <w:rsid w:val="00252050"/>
    <w:rsid w:val="002B3CBF"/>
    <w:rsid w:val="002C49D0"/>
    <w:rsid w:val="002E40A9"/>
    <w:rsid w:val="00394447"/>
    <w:rsid w:val="003B3258"/>
    <w:rsid w:val="003E50A4"/>
    <w:rsid w:val="003F691E"/>
    <w:rsid w:val="0040388A"/>
    <w:rsid w:val="00431778"/>
    <w:rsid w:val="004340C4"/>
    <w:rsid w:val="00454CC7"/>
    <w:rsid w:val="00461644"/>
    <w:rsid w:val="004617C9"/>
    <w:rsid w:val="00476034"/>
    <w:rsid w:val="004C63FA"/>
    <w:rsid w:val="005168AD"/>
    <w:rsid w:val="0058240F"/>
    <w:rsid w:val="00592CD5"/>
    <w:rsid w:val="005D1B85"/>
    <w:rsid w:val="005D502F"/>
    <w:rsid w:val="00627324"/>
    <w:rsid w:val="00652324"/>
    <w:rsid w:val="0065269D"/>
    <w:rsid w:val="00665583"/>
    <w:rsid w:val="00686668"/>
    <w:rsid w:val="00693BC6"/>
    <w:rsid w:val="00696070"/>
    <w:rsid w:val="007C1207"/>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44C0A"/>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269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
      <w:docPartPr>
        <w:name w:val="BAFBEE454D8749918CAC0ED6F603267A"/>
        <w:category>
          <w:name w:val="General"/>
          <w:gallery w:val="placeholder"/>
        </w:category>
        <w:types>
          <w:type w:val="bbPlcHdr"/>
        </w:types>
        <w:behaviors>
          <w:behavior w:val="content"/>
        </w:behaviors>
        <w:guid w:val="{30F8967D-AAB3-439A-8DB2-C82452AC7B0E}"/>
      </w:docPartPr>
      <w:docPartBody>
        <w:p w:rsidR="00BC1A23" w:rsidRDefault="00BC1A23" w:rsidP="00BC1A23">
          <w:pPr>
            <w:pStyle w:val="BAFBEE454D8749918CAC0ED6F603267A"/>
          </w:pPr>
          <w:r w:rsidRPr="0007110E">
            <w:rPr>
              <w:rStyle w:val="PlaceholderText"/>
              <w:bCs/>
            </w:rPr>
            <w:t>Click or tap here to enter text.</w:t>
          </w:r>
        </w:p>
      </w:docPartBody>
    </w:docPart>
    <w:docPart>
      <w:docPartPr>
        <w:name w:val="602106C22DA14F67A8578E902E8163E1"/>
        <w:category>
          <w:name w:val="General"/>
          <w:gallery w:val="placeholder"/>
        </w:category>
        <w:types>
          <w:type w:val="bbPlcHdr"/>
        </w:types>
        <w:behaviors>
          <w:behavior w:val="content"/>
        </w:behaviors>
        <w:guid w:val="{24A29B9D-4C30-4DF8-BA7B-D331BE48AFE1}"/>
      </w:docPartPr>
      <w:docPartBody>
        <w:p w:rsidR="00702F0B" w:rsidRDefault="00702F0B" w:rsidP="00702F0B">
          <w:pPr>
            <w:pStyle w:val="602106C22DA14F67A8578E902E8163E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02F0B"/>
    <w:rsid w:val="007F7378"/>
    <w:rsid w:val="00893390"/>
    <w:rsid w:val="00894A0C"/>
    <w:rsid w:val="00BC1A2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2F0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BAFBEE454D8749918CAC0ED6F603267A">
    <w:name w:val="BAFBEE454D8749918CAC0ED6F603267A"/>
    <w:rsid w:val="00BC1A23"/>
    <w:rPr>
      <w:kern w:val="2"/>
      <w:szCs w:val="22"/>
      <w14:ligatures w14:val="standardContextual"/>
    </w:rPr>
  </w:style>
  <w:style w:type="paragraph" w:customStyle="1" w:styleId="602106C22DA14F67A8578E902E8163E1">
    <w:name w:val="602106C22DA14F67A8578E902E8163E1"/>
    <w:rsid w:val="00702F0B"/>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1314</Words>
  <Characters>7779</Characters>
  <Application>Microsoft Office Word</Application>
  <DocSecurity>4</DocSecurity>
  <PresentationFormat>Microsoft Word 14.0</PresentationFormat>
  <Lines>972</Lines>
  <Paragraphs>1010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2024-07-10T14:50:00Z</dcterms:created>
  <dcterms:modified xsi:type="dcterms:W3CDTF">2024-07-10T14:50:00Z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