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4E29FC" w14:paraId="0234CF48" w14:textId="77777777">
            <w:trPr>
              <w:cantSplit/>
            </w:trPr>
            <w:tc>
              <w:tcPr>
                <w:tcW w:w="2400" w:type="dxa"/>
              </w:tcPr>
              <w:p w14:paraId="04240299" w14:textId="77777777" w:rsidR="004E29FC" w:rsidRDefault="009C3004">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D84AF9C" w:rsidR="004E29FC" w:rsidRDefault="00597AB0">
                <w:pPr>
                  <w:pStyle w:val="ZCom"/>
                </w:pPr>
                <w:sdt>
                  <w:sdtPr>
                    <w:id w:val="1852987933"/>
                    <w:dataBinding w:xpath="/Texts/OrgaRoot" w:storeItemID="{4EF90DE6-88B6-4264-9629-4D8DFDFE87D2}"/>
                    <w:text w:multiLine="1"/>
                  </w:sdtPr>
                  <w:sdtEndPr/>
                  <w:sdtContent>
                    <w:r w:rsidR="00C14F4F">
                      <w:t>EUROPEAN COMMISSION</w:t>
                    </w:r>
                  </w:sdtContent>
                </w:sdt>
              </w:p>
              <w:p w14:paraId="2A21A594" w14:textId="77777777" w:rsidR="004E29FC" w:rsidRDefault="004E29FC">
                <w:pPr>
                  <w:pStyle w:val="ZDGName"/>
                  <w:rPr>
                    <w:b/>
                  </w:rPr>
                </w:pPr>
              </w:p>
              <w:p w14:paraId="32A1BF4E" w14:textId="2AF8DF79" w:rsidR="004E29FC" w:rsidRDefault="004E29FC">
                <w:pPr>
                  <w:pStyle w:val="ZDGName"/>
                  <w:rPr>
                    <w:b/>
                  </w:rPr>
                </w:pPr>
              </w:p>
            </w:tc>
          </w:tr>
        </w:sdtContent>
      </w:sdt>
    </w:tbl>
    <w:p w14:paraId="2EA71B94" w14:textId="7F00DE5D" w:rsidR="004E29FC" w:rsidRDefault="009C3004">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4E29FC" w14:paraId="6C83529A" w14:textId="77777777">
        <w:tc>
          <w:tcPr>
            <w:tcW w:w="3111" w:type="dxa"/>
          </w:tcPr>
          <w:p w14:paraId="6D76206F" w14:textId="2B783D2D" w:rsidR="004E29FC" w:rsidRDefault="009C3004">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6013B6C2" w:rsidR="004E29FC" w:rsidRDefault="009C3004">
                <w:pPr>
                  <w:tabs>
                    <w:tab w:val="left" w:pos="426"/>
                  </w:tabs>
                  <w:spacing w:before="120"/>
                </w:pPr>
                <w:r>
                  <w:t>GD Wirtschaft und Finanzen – Direktion makroökonomische Politik – Referat Fiskalpolitik und Überwachung (EFCIN C.1)</w:t>
                </w:r>
              </w:p>
            </w:tc>
          </w:sdtContent>
        </w:sdt>
      </w:tr>
      <w:tr w:rsidR="004E29FC" w14:paraId="4B8EFB62" w14:textId="77777777">
        <w:tc>
          <w:tcPr>
            <w:tcW w:w="3111" w:type="dxa"/>
          </w:tcPr>
          <w:p w14:paraId="51EA5B20" w14:textId="30D9C7F2" w:rsidR="004E29FC" w:rsidRDefault="009C3004">
            <w:pPr>
              <w:tabs>
                <w:tab w:val="left" w:pos="426"/>
              </w:tabs>
              <w:spacing w:before="120"/>
            </w:pPr>
            <w:r>
              <w:t>Stellennummer in Sysper:</w:t>
            </w:r>
          </w:p>
        </w:tc>
        <w:sdt>
          <w:sdtPr>
            <w:rPr>
              <w:lang w:val="en-IE" w:eastAsia="en-GB"/>
            </w:rPr>
            <w:id w:val="-686597872"/>
            <w:placeholder>
              <w:docPart w:val="722A130BB2FD42CB99AF58537814D26D"/>
            </w:placeholder>
          </w:sdtPr>
          <w:sdtEndPr/>
          <w:sdtContent>
            <w:tc>
              <w:tcPr>
                <w:tcW w:w="5491" w:type="dxa"/>
              </w:tcPr>
              <w:p w14:paraId="26B6BD75" w14:textId="5A90D8FB" w:rsidR="004E29FC" w:rsidRDefault="009C3004">
                <w:pPr>
                  <w:tabs>
                    <w:tab w:val="left" w:pos="426"/>
                  </w:tabs>
                  <w:spacing w:before="120"/>
                </w:pPr>
                <w:r>
                  <w:t>271379</w:t>
                </w:r>
              </w:p>
            </w:tc>
          </w:sdtContent>
        </w:sdt>
      </w:tr>
      <w:tr w:rsidR="004E29FC" w14:paraId="4E8359D5" w14:textId="77777777">
        <w:tc>
          <w:tcPr>
            <w:tcW w:w="3111" w:type="dxa"/>
          </w:tcPr>
          <w:p w14:paraId="72A7A894" w14:textId="1DC6A465" w:rsidR="004E29FC" w:rsidRDefault="009C3004">
            <w:pPr>
              <w:tabs>
                <w:tab w:val="left" w:pos="1697"/>
              </w:tabs>
              <w:spacing w:before="120"/>
              <w:ind w:right="-1741"/>
            </w:pPr>
            <w:r>
              <w:t>Ansprechpartner;</w:t>
            </w:r>
          </w:p>
          <w:p w14:paraId="1BD76B84" w14:textId="2ED3769A" w:rsidR="004E29FC" w:rsidRDefault="009C3004">
            <w:pPr>
              <w:tabs>
                <w:tab w:val="left" w:pos="1697"/>
              </w:tabs>
              <w:ind w:right="-1739"/>
              <w:contextualSpacing/>
            </w:pPr>
            <w:r>
              <w:t>Vorläufiger Beginn:</w:t>
            </w:r>
          </w:p>
          <w:p w14:paraId="324479C0" w14:textId="6E052826" w:rsidR="004E29FC" w:rsidRDefault="009C3004">
            <w:pPr>
              <w:tabs>
                <w:tab w:val="left" w:pos="1697"/>
              </w:tabs>
              <w:ind w:right="-1739"/>
              <w:contextualSpacing/>
            </w:pPr>
            <w:r>
              <w:t>Anfängliche Dauer:</w:t>
            </w:r>
          </w:p>
          <w:p w14:paraId="07FF8994" w14:textId="77777777" w:rsidR="004E29FC" w:rsidRDefault="009C3004">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2EB1CB9D" w:rsidR="004E29FC" w:rsidRDefault="009C3004">
                <w:pPr>
                  <w:tabs>
                    <w:tab w:val="left" w:pos="426"/>
                  </w:tabs>
                  <w:spacing w:before="120"/>
                </w:pPr>
                <w:r>
                  <w:t>Gilles Mourre</w:t>
                </w:r>
              </w:p>
            </w:sdtContent>
          </w:sdt>
          <w:p w14:paraId="34CF737A" w14:textId="48FC7FB6" w:rsidR="004E29FC" w:rsidRDefault="009C3004">
            <w:pPr>
              <w:tabs>
                <w:tab w:val="left" w:pos="426"/>
              </w:tabs>
              <w:contextualSpacing/>
            </w:pPr>
            <w:r>
              <w:t xml:space="preserve">Der ab dem 1. November 2024 verfügbare Standpunkt, der jedoch am 1. Januar 2025 beginnt, könnte erörtert werden. </w:t>
            </w:r>
          </w:p>
          <w:p w14:paraId="158DD156" w14:textId="75518D8E" w:rsidR="004E29FC" w:rsidRDefault="00597AB0">
            <w:pPr>
              <w:tabs>
                <w:tab w:val="left" w:pos="426"/>
              </w:tabs>
              <w:contextualSpacing/>
              <w:jc w:val="left"/>
            </w:pPr>
            <w:sdt>
              <w:sdtPr>
                <w:rPr>
                  <w:bCs/>
                  <w:lang w:val="en-IE" w:eastAsia="en-GB"/>
                </w:rPr>
                <w:id w:val="202528730"/>
                <w:placeholder>
                  <w:docPart w:val="DefaultPlaceholder_-1854013440"/>
                </w:placeholder>
              </w:sdtPr>
              <w:sdtEndPr/>
              <w:sdtContent>
                <w:r w:rsidR="009C3004">
                  <w:t>2</w:t>
                </w:r>
              </w:sdtContent>
            </w:sdt>
            <w:r w:rsidR="009C3004">
              <w:t xml:space="preserve"> Jahre</w:t>
            </w:r>
            <w:r w:rsidR="009C3004">
              <w:br/>
            </w:r>
            <w:sdt>
              <w:sdtPr>
                <w:rPr>
                  <w:bCs/>
                  <w:szCs w:val="24"/>
                  <w:lang w:eastAsia="en-GB"/>
                </w:rPr>
                <w:id w:val="-69433268"/>
                <w14:checkbox>
                  <w14:checked w14:val="1"/>
                  <w14:checkedState w14:val="2612" w14:font="MS Gothic"/>
                  <w14:uncheckedState w14:val="2610" w14:font="MS Gothic"/>
                </w14:checkbox>
              </w:sdtPr>
              <w:sdtEndPr/>
              <w:sdtContent>
                <w:r w:rsidR="009C3004">
                  <w:rPr>
                    <w:rFonts w:ascii="MS Gothic" w:eastAsia="MS Gothic" w:hAnsi="MS Gothic" w:hint="eastAsia"/>
                  </w:rPr>
                  <w:t>☒</w:t>
                </w:r>
              </w:sdtContent>
            </w:sdt>
            <w:r w:rsidR="009C3004">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9C3004">
                  <w:rPr>
                    <w:rFonts w:ascii="MS Gothic" w:eastAsia="MS Gothic" w:hAnsi="MS Gothic" w:hint="eastAsia"/>
                  </w:rPr>
                  <w:t>☐</w:t>
                </w:r>
              </w:sdtContent>
            </w:sdt>
            <w:r w:rsidR="009C3004">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9C3004">
                  <w:rPr>
                    <w:rFonts w:ascii="MS Gothic" w:eastAsia="MS Gothic" w:hAnsi="MS Gothic" w:hint="eastAsia"/>
                  </w:rPr>
                  <w:t>☐</w:t>
                </w:r>
              </w:sdtContent>
            </w:sdt>
            <w:r w:rsidR="009C3004">
              <w:t xml:space="preserve"> Sonstige: </w:t>
            </w:r>
            <w:sdt>
              <w:sdtPr>
                <w:rPr>
                  <w:bCs/>
                  <w:szCs w:val="24"/>
                  <w:lang w:eastAsia="en-GB"/>
                </w:rPr>
                <w:id w:val="-186994276"/>
                <w:placeholder>
                  <w:docPart w:val="42CE55A0461841A39534A5E777539A67"/>
                </w:placeholder>
                <w:showingPlcHdr/>
              </w:sdtPr>
              <w:sdtEndPr/>
              <w:sdtContent>
                <w:r w:rsidR="009C3004">
                  <w:rPr>
                    <w:rStyle w:val="PlaceholderText"/>
                  </w:rPr>
                  <w:t>Klicken oder schreiben Sie hier, um Text einzugeben.</w:t>
                </w:r>
              </w:sdtContent>
            </w:sdt>
          </w:p>
          <w:p w14:paraId="7CA484B0" w14:textId="77777777" w:rsidR="004E29FC" w:rsidRDefault="004E29FC">
            <w:pPr>
              <w:tabs>
                <w:tab w:val="left" w:pos="426"/>
              </w:tabs>
              <w:spacing w:before="120" w:after="0"/>
              <w:contextualSpacing/>
            </w:pPr>
          </w:p>
        </w:tc>
      </w:tr>
      <w:tr w:rsidR="004E29FC" w14:paraId="01F2BC57" w14:textId="77777777">
        <w:tc>
          <w:tcPr>
            <w:tcW w:w="3111" w:type="dxa"/>
          </w:tcPr>
          <w:p w14:paraId="201A3100" w14:textId="67E5037A" w:rsidR="004E29FC" w:rsidRDefault="009C3004">
            <w:pPr>
              <w:tabs>
                <w:tab w:val="left" w:pos="426"/>
              </w:tabs>
              <w:spacing w:before="180" w:after="0"/>
            </w:pPr>
            <w:bookmarkStart w:id="1" w:name="_Hlk135920176"/>
            <w:r>
              <w:t>Art der Abordnung</w:t>
            </w:r>
          </w:p>
        </w:tc>
        <w:tc>
          <w:tcPr>
            <w:tcW w:w="5491" w:type="dxa"/>
          </w:tcPr>
          <w:p w14:paraId="6B14399A" w14:textId="71243D84" w:rsidR="004E29FC" w:rsidRDefault="009C3004">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1440" w:dyaOrig="1440" w14:anchorId="1B1CECAE">
                <v:shape id="_x0000_i1039" type="#_x0000_t75" style="width:108pt;height:21.6pt" o:ole="">
                  <v:imagedata r:id="rId17" o:title=""/>
                </v:shape>
                <w:control r:id="rId18" w:name="OptionButton7" w:shapeid="_x0000_i1039"/>
              </w:object>
            </w:r>
          </w:p>
        </w:tc>
      </w:tr>
      <w:tr w:rsidR="004E29FC" w14:paraId="539D0BAC" w14:textId="77777777">
        <w:trPr>
          <w:trHeight w:val="3141"/>
        </w:trPr>
        <w:tc>
          <w:tcPr>
            <w:tcW w:w="8602" w:type="dxa"/>
            <w:gridSpan w:val="2"/>
          </w:tcPr>
          <w:p w14:paraId="582FFE97" w14:textId="38200397" w:rsidR="004E29FC" w:rsidRDefault="009C3004">
            <w:pPr>
              <w:tabs>
                <w:tab w:val="left" w:pos="426"/>
              </w:tabs>
              <w:spacing w:before="120"/>
            </w:pPr>
            <w:r>
              <w:t>Diese Stellenausschreibung ist offen für:</w:t>
            </w:r>
          </w:p>
          <w:p w14:paraId="4446CE69" w14:textId="7DA01A7F" w:rsidR="004E29FC" w:rsidRDefault="009C3004">
            <w:pPr>
              <w:tabs>
                <w:tab w:val="left" w:pos="426"/>
              </w:tabs>
              <w:contextualSpacing/>
            </w:pPr>
            <w:r>
              <w:object w:dxaOrig="1440" w:dyaOrig="1440" w14:anchorId="7CA3F499">
                <v:shape id="_x0000_i1041" type="#_x0000_t75" style="width:108pt;height:21.6pt" o:ole="">
                  <v:imagedata r:id="rId19" o:title=""/>
                </v:shape>
                <w:control r:id="rId20" w:name="OptionButton4" w:shapeid="_x0000_i1041"/>
              </w:object>
            </w:r>
          </w:p>
          <w:p w14:paraId="41B550FE" w14:textId="59EA556E" w:rsidR="004E29FC" w:rsidRDefault="009C3004">
            <w:pPr>
              <w:tabs>
                <w:tab w:val="left" w:pos="426"/>
              </w:tabs>
              <w:spacing w:after="120"/>
              <w:ind w:left="567"/>
            </w:pPr>
            <w:r>
              <w:t>außerdem</w:t>
            </w:r>
          </w:p>
          <w:p w14:paraId="48418475" w14:textId="6331CDD6" w:rsidR="004E29FC" w:rsidRDefault="00597AB0">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9C3004">
                  <w:rPr>
                    <w:rFonts w:ascii="MS Gothic" w:eastAsia="MS Gothic" w:hAnsi="MS Gothic" w:hint="eastAsia"/>
                  </w:rPr>
                  <w:t>☐</w:t>
                </w:r>
              </w:sdtContent>
            </w:sdt>
            <w:r w:rsidR="009C3004">
              <w:t xml:space="preserve"> die folgenden EFTA-Länder:</w:t>
            </w:r>
          </w:p>
          <w:p w14:paraId="14835B5E" w14:textId="77777777" w:rsidR="004E29FC" w:rsidRDefault="009C3004">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4E29FC" w:rsidRDefault="00597AB0">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9C3004">
                  <w:rPr>
                    <w:rFonts w:ascii="MS Gothic" w:eastAsia="MS Gothic" w:hAnsi="MS Gothic" w:hint="eastAsia"/>
                  </w:rPr>
                  <w:t>☐</w:t>
                </w:r>
              </w:sdtContent>
            </w:sdt>
            <w:r w:rsidR="009C3004">
              <w:t xml:space="preserve"> die folgenden Drittländer: </w:t>
            </w:r>
            <w:sdt>
              <w:sdtPr>
                <w:rPr>
                  <w:bCs/>
                  <w:szCs w:val="24"/>
                  <w:lang w:eastAsia="en-GB"/>
                </w:rPr>
                <w:id w:val="1742369941"/>
                <w:placeholder>
                  <w:docPart w:val="335C0F1576B3499F8D90CE979ABE47D4"/>
                </w:placeholder>
                <w:showingPlcHdr/>
              </w:sdtPr>
              <w:sdtEndPr/>
              <w:sdtContent>
                <w:r w:rsidR="009C3004">
                  <w:rPr>
                    <w:rStyle w:val="PlaceholderText"/>
                  </w:rPr>
                  <w:t xml:space="preserve">....    </w:t>
                </w:r>
              </w:sdtContent>
            </w:sdt>
          </w:p>
          <w:p w14:paraId="265CD5A1" w14:textId="0FD11D7C" w:rsidR="004E29FC" w:rsidRDefault="00597AB0">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9C3004">
                  <w:rPr>
                    <w:rFonts w:ascii="MS Gothic" w:eastAsia="MS Gothic" w:hAnsi="MS Gothic" w:hint="eastAsia"/>
                  </w:rPr>
                  <w:t>☐</w:t>
                </w:r>
              </w:sdtContent>
            </w:sdt>
            <w:r w:rsidR="009C3004">
              <w:t xml:space="preserve"> die folgenden zwischenstaatlichen Organisationen:</w:t>
            </w:r>
            <w:r w:rsidR="009C3004">
              <w:tab/>
            </w:r>
            <w:sdt>
              <w:sdtPr>
                <w:rPr>
                  <w:bCs/>
                  <w:szCs w:val="24"/>
                  <w:lang w:eastAsia="en-GB"/>
                </w:rPr>
                <w:id w:val="1349070026"/>
                <w:placeholder>
                  <w:docPart w:val="42F8A5B327594E519C9F00EDCE7CD95B"/>
                </w:placeholder>
                <w:showingPlcHdr/>
              </w:sdtPr>
              <w:sdtEndPr/>
              <w:sdtContent>
                <w:r w:rsidR="009C3004">
                  <w:rPr>
                    <w:rStyle w:val="PlaceholderText"/>
                  </w:rPr>
                  <w:t xml:space="preserve">  ... </w:t>
                </w:r>
              </w:sdtContent>
            </w:sdt>
          </w:p>
          <w:p w14:paraId="195D93C2" w14:textId="57187952" w:rsidR="004E29FC" w:rsidRDefault="004E29FC">
            <w:pPr>
              <w:tabs>
                <w:tab w:val="left" w:pos="426"/>
              </w:tabs>
              <w:contextualSpacing/>
            </w:pPr>
          </w:p>
          <w:p w14:paraId="6CECCDB8" w14:textId="3DECDD55" w:rsidR="004E29FC" w:rsidRDefault="009C3004">
            <w:pPr>
              <w:tabs>
                <w:tab w:val="left" w:pos="426"/>
              </w:tabs>
            </w:pPr>
            <w:r>
              <w:object w:dxaOrig="1440" w:dyaOrig="1440" w14:anchorId="624C0115">
                <v:shape id="_x0000_i1043" type="#_x0000_t75" style="width:320.4pt;height:21.6pt" o:ole="">
                  <v:imagedata r:id="rId21" o:title=""/>
                </v:shape>
                <w:control r:id="rId22" w:name="OptionButton5" w:shapeid="_x0000_i1043"/>
              </w:object>
            </w:r>
            <w:r>
              <w:t xml:space="preserve"> </w:t>
            </w:r>
          </w:p>
        </w:tc>
      </w:tr>
      <w:tr w:rsidR="004E29FC" w14:paraId="4E10CC7A" w14:textId="77777777">
        <w:tc>
          <w:tcPr>
            <w:tcW w:w="3111" w:type="dxa"/>
          </w:tcPr>
          <w:p w14:paraId="4B77822C" w14:textId="5EFC4255" w:rsidR="004E29FC" w:rsidRDefault="009C3004">
            <w:pPr>
              <w:tabs>
                <w:tab w:val="left" w:pos="426"/>
              </w:tabs>
              <w:spacing w:before="180"/>
            </w:pPr>
            <w:r>
              <w:t>Bewerbungsfrist</w:t>
            </w:r>
          </w:p>
        </w:tc>
        <w:tc>
          <w:tcPr>
            <w:tcW w:w="5491" w:type="dxa"/>
          </w:tcPr>
          <w:p w14:paraId="240262F4" w14:textId="376187AF" w:rsidR="004E29FC" w:rsidRDefault="009C3004">
            <w:pPr>
              <w:tabs>
                <w:tab w:val="left" w:pos="426"/>
              </w:tabs>
              <w:spacing w:before="120" w:after="120"/>
            </w:pPr>
            <w:r>
              <w:object w:dxaOrig="1440" w:dyaOrig="1440" w14:anchorId="51A1B371">
                <v:shape id="_x0000_i1045" type="#_x0000_t75" style="width:108pt;height:21.6pt" o:ole="">
                  <v:imagedata r:id="rId23" o:title=""/>
                </v:shape>
                <w:control r:id="rId24" w:name="OptionButton2" w:shapeid="_x0000_i1045"/>
              </w:object>
            </w:r>
            <w:r>
              <w:object w:dxaOrig="1440" w:dyaOrig="1440" w14:anchorId="0992615F">
                <v:shape id="_x0000_i1047" type="#_x0000_t75" style="width:108pt;height:21.6pt" o:ole="">
                  <v:imagedata r:id="rId25" o:title=""/>
                </v:shape>
                <w:control r:id="rId26" w:name="OptionButton3" w:shapeid="_x0000_i1047"/>
              </w:object>
            </w:r>
          </w:p>
          <w:p w14:paraId="42C9AD79" w14:textId="1384ED46" w:rsidR="004E29FC" w:rsidRDefault="009C3004">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597AB0">
                  <w:t>25</w:t>
                </w:r>
                <w:r>
                  <w:t>-09-2024</w:t>
                </w:r>
              </w:sdtContent>
            </w:sdt>
          </w:p>
        </w:tc>
      </w:tr>
      <w:bookmarkEnd w:id="0"/>
      <w:bookmarkEnd w:id="1"/>
    </w:tbl>
    <w:p w14:paraId="4AD59AD4" w14:textId="77777777" w:rsidR="004E29FC" w:rsidRDefault="004E29FC">
      <w:pPr>
        <w:tabs>
          <w:tab w:val="left" w:pos="426"/>
        </w:tabs>
        <w:spacing w:after="0"/>
        <w:rPr>
          <w:b/>
        </w:rPr>
      </w:pPr>
    </w:p>
    <w:p w14:paraId="7FA18C95" w14:textId="77777777" w:rsidR="004E29FC" w:rsidRDefault="004E29FC">
      <w:pPr>
        <w:tabs>
          <w:tab w:val="left" w:pos="426"/>
        </w:tabs>
        <w:spacing w:after="0"/>
        <w:rPr>
          <w:b/>
        </w:rPr>
      </w:pPr>
    </w:p>
    <w:p w14:paraId="739B1A99" w14:textId="26B4FBDA" w:rsidR="004E29FC" w:rsidRDefault="009C3004">
      <w:pPr>
        <w:pStyle w:val="P68B1DB1-ListNumber1"/>
        <w:numPr>
          <w:ilvl w:val="0"/>
          <w:numId w:val="0"/>
        </w:numPr>
        <w:ind w:left="709" w:hanging="709"/>
      </w:pPr>
      <w:bookmarkStart w:id="2" w:name="_Hlk132129090"/>
      <w:r>
        <w:t>Vorstellung der Einrichtung (Wer wir sind)</w:t>
      </w:r>
    </w:p>
    <w:p w14:paraId="59DD0438" w14:textId="4EDB803B" w:rsidR="004E29FC" w:rsidRDefault="009C3004">
      <w:r>
        <w:lastRenderedPageBreak/>
        <w:t>Unser Referat trägt zum politischen Entscheidungsprozess auf europäischer Ebene im Bereich der Wirtschafts- und Währungsunion (WWU) bei, um solide und tragfähige öffentliche Finanzen im Euro-Währungsgebiet und in der EU zu erreichen und aufrechtzuerhalten. Die Arbeit des Referats konzentriert sich auf die Verbesserung des haushaltspolitischen Rahmens der EU und die Stärkung der Koordinierung der Haushaltspolitik der Mitgliedstaaten. Wir überwachen die Umsetzung des EU-Rahmens für die haushaltspolitische Überwachung (des Stabilitäts- und Wachstumspakts). In diesem Zusammenhang entwickeln wir analytische und politische Instrumente, um die Solidität und Qualität der Haushaltspolitik insgesamt anzugehen. Dies erfordert Arbeiten an Haushaltsentwicklungen, politischen Strategien sowie methodischen und analytischen Arbeiten zu wichtigen Fragen der öffentlichen Finanzen. Das Referat koordiniert die Erstellung des Berichts über die öffentlichen Finanzen in der WWU, der eine Analyse der Haushaltsentwicklungen und der Umsetzung des haushaltspolitischen Rahmens der EU sowie thematische Studien umfasst, die für die politische Debatte über die öffentlichen Finanzen und die Durchführung der haushaltspolitischen Überwachung besonders relevant sind. Im Rahmen seiner Arbeit steht das Referat in engem Kontakt mit den Behörden der Mitgliedstaaten, der Europäischen Zentralbank (EZB) und internationalen Organisationen, insbesondere dem Internationalen Währungsfonds (IWF) und der Organisation für wirtschaftliche Zusammenarbeit und Entwicklung (OECD).</w:t>
      </w:r>
    </w:p>
    <w:p w14:paraId="69459484" w14:textId="77777777" w:rsidR="004E29FC" w:rsidRDefault="004E29FC">
      <w:pPr>
        <w:pStyle w:val="ListNumber"/>
        <w:numPr>
          <w:ilvl w:val="0"/>
          <w:numId w:val="0"/>
        </w:numPr>
        <w:ind w:left="709" w:hanging="709"/>
        <w:rPr>
          <w:b/>
        </w:rPr>
      </w:pPr>
    </w:p>
    <w:p w14:paraId="50617C66" w14:textId="3928B21B" w:rsidR="004E29FC" w:rsidRDefault="009C3004">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2C9A2AC8" w14:textId="59BBBD3C" w:rsidR="004E29FC" w:rsidRDefault="009C3004">
          <w:pPr>
            <w:spacing w:after="0"/>
            <w:ind w:right="-14"/>
          </w:pPr>
          <w:r>
            <w:t>Wir schlagen eine Stelle für folgende Bereiche vor:</w:t>
          </w:r>
        </w:p>
        <w:p w14:paraId="3167F94B" w14:textId="77777777" w:rsidR="004E29FC" w:rsidRDefault="009C3004">
          <w:pPr>
            <w:spacing w:after="0"/>
            <w:ind w:right="-14"/>
          </w:pPr>
          <w:r>
            <w:t>•</w:t>
          </w:r>
          <w:r>
            <w:tab/>
            <w:t>Bewertung der Finanzpolitik des Euro-Währungsgebiets insgesamt und ihrer Auswirkungen auf den Policy-Mix auf aggregierter und nationaler Ebene.</w:t>
          </w:r>
        </w:p>
        <w:p w14:paraId="7CD37EBF" w14:textId="77777777" w:rsidR="004E29FC" w:rsidRDefault="009C3004">
          <w:pPr>
            <w:spacing w:after="0"/>
            <w:ind w:right="-14"/>
          </w:pPr>
          <w:r>
            <w:t>•</w:t>
          </w:r>
          <w:r>
            <w:tab/>
            <w:t xml:space="preserve">Untersuchung von Faktoren, die sich auf die Qualität der Finanzpolitik auswirken, insbesondere der Bestimmungsfaktoren für eine erfolgreiche Haushaltsanpassung. </w:t>
          </w:r>
        </w:p>
        <w:p w14:paraId="58B250AF" w14:textId="5E93532E" w:rsidR="004E29FC" w:rsidRDefault="009C3004">
          <w:pPr>
            <w:spacing w:after="0"/>
            <w:ind w:right="-14"/>
          </w:pPr>
          <w:r>
            <w:t>•</w:t>
          </w:r>
          <w:r>
            <w:tab/>
            <w:t xml:space="preserve">Vorbereitung der haushaltspolitischen Leitlinien für die Tagungen des ECOFIN-Rates, der Eurogruppe und der OECD, des IWF, der G7 und der G20. Bei der Wahrnehmung seiner Aufgaben arbeitet das Referat eng mit anderen Referaten der Direktion und in der gesamten Generaldirektion Wirtschaft und Finanzen zusammen. </w:t>
          </w:r>
        </w:p>
        <w:p w14:paraId="4BCE279C" w14:textId="77777777" w:rsidR="004E29FC" w:rsidRDefault="009C3004">
          <w:pPr>
            <w:spacing w:after="0"/>
            <w:ind w:right="-14"/>
          </w:pPr>
          <w:r>
            <w:t>•</w:t>
          </w:r>
          <w:r>
            <w:tab/>
            <w:t xml:space="preserve">Entwicklung und Unterstützung bei der Anwendung der erforderlichen empirischen und theoretischen Aspekte von Analyseinstrumenten, die im Rahmen der Umsetzung und Weiterentwicklung des Stabilitäts- und Wachstumspakts eingesetzt werden können, wobei eine solide analytische Grundlage zu gewährleisten ist. </w:t>
          </w:r>
        </w:p>
        <w:p w14:paraId="3ED263F0" w14:textId="764AA19E" w:rsidR="004E29FC" w:rsidRDefault="009C3004">
          <w:pPr>
            <w:spacing w:after="0"/>
            <w:ind w:right="-14"/>
          </w:pPr>
          <w:r>
            <w:t>•</w:t>
          </w:r>
          <w:r>
            <w:tab/>
            <w:t>Beitrag zur Entwicklung kohärenter Bewertungen und Empfehlungen im Rahmen des Stabilitäts- und Wachstumspakts.</w:t>
          </w:r>
        </w:p>
        <w:p w14:paraId="2850C6FB" w14:textId="77777777" w:rsidR="004E29FC" w:rsidRDefault="009C3004">
          <w:pPr>
            <w:spacing w:after="0"/>
            <w:ind w:right="-14"/>
          </w:pPr>
          <w:r>
            <w:t>•</w:t>
          </w:r>
          <w:r>
            <w:tab/>
            <w:t>Teilnahme an der Informationstätigkeit der GD durch umfassende Kontakte und Teilnahme an Veranstaltungen mit anderen EU-Institutionen, der EZB, den Mitgliedstaaten, internationalen Organisationen und einschlägigen Interessenträgern.</w:t>
          </w:r>
        </w:p>
        <w:p w14:paraId="46EE3E07" w14:textId="3DEE4807" w:rsidR="004E29FC" w:rsidRDefault="00597AB0"/>
      </w:sdtContent>
    </w:sdt>
    <w:p w14:paraId="433AC71A" w14:textId="77777777" w:rsidR="004E29FC" w:rsidRDefault="004E29FC">
      <w:pPr>
        <w:pStyle w:val="ListNumber"/>
        <w:numPr>
          <w:ilvl w:val="0"/>
          <w:numId w:val="0"/>
        </w:numPr>
        <w:ind w:left="709" w:hanging="709"/>
        <w:rPr>
          <w:b/>
        </w:rPr>
      </w:pPr>
    </w:p>
    <w:p w14:paraId="58E0FD96" w14:textId="2D5F7C92" w:rsidR="004E29FC" w:rsidRDefault="009C3004">
      <w:pPr>
        <w:pStyle w:val="P68B1DB1-ListNumber1"/>
        <w:numPr>
          <w:ilvl w:val="0"/>
          <w:numId w:val="0"/>
        </w:numPr>
        <w:ind w:left="709" w:hanging="709"/>
      </w:pPr>
      <w:r>
        <w:t>Stellenprofil (Was wir suchen)</w:t>
      </w:r>
    </w:p>
    <w:p w14:paraId="3B00FD51" w14:textId="64379F12" w:rsidR="004E29FC" w:rsidRDefault="009C3004">
      <w:pPr>
        <w:spacing w:after="0"/>
        <w:ind w:right="-14"/>
      </w:pPr>
      <w:r>
        <w:t xml:space="preserve">Wir suchen einen dynamischen, hoch motivierten und analytisch starken Wirtschaftswissenschaftler, der möglicherweise über einige Erfahrungen mit dem EU-Überwachungsrahmen verfügt, um zu unserem Team wirtschaftliche Analysen und politische Beratung im Zuständigkeitsbereich des oben genannten Referats anzubieten. </w:t>
      </w:r>
    </w:p>
    <w:p w14:paraId="3002E5B4" w14:textId="77777777" w:rsidR="004E29FC" w:rsidRDefault="004E29FC">
      <w:pPr>
        <w:spacing w:after="0"/>
        <w:ind w:right="-14"/>
      </w:pPr>
    </w:p>
    <w:p w14:paraId="7A33014E" w14:textId="28272163" w:rsidR="004E29FC" w:rsidRDefault="009C3004">
      <w:pPr>
        <w:spacing w:after="0"/>
        <w:ind w:right="-14"/>
      </w:pPr>
      <w:r>
        <w:lastRenderedPageBreak/>
        <w:t>Die Position erfordert eine enge Zusammenarbeit mit anderen Mitgliedern des Referats und mit Kollegen. Daher sind ausgeprägte zwischenmenschliche Kompetenzen und ein kooperativer Ansatz beim Umgang mit Kollegen von entscheidender Bedeutung. Der erfolgreiche Bewerber sollte über gute organisatorische Fähigkeiten verfügen und in der Lage sein, mehrere Anträge und knappe Fristen effizient zu bearbeiten.</w:t>
      </w:r>
    </w:p>
    <w:p w14:paraId="11C60227" w14:textId="77777777" w:rsidR="004E29FC" w:rsidRDefault="004E29FC">
      <w:pPr>
        <w:spacing w:after="0"/>
        <w:ind w:right="-14"/>
        <w:rPr>
          <w:b/>
          <w:sz w:val="20"/>
        </w:rPr>
      </w:pPr>
    </w:p>
    <w:p w14:paraId="744D4C89" w14:textId="77777777" w:rsidR="004E29FC" w:rsidRDefault="004E29FC">
      <w:pPr>
        <w:spacing w:after="0"/>
        <w:ind w:right="-14"/>
        <w:rPr>
          <w:b/>
          <w:sz w:val="20"/>
        </w:rPr>
      </w:pPr>
    </w:p>
    <w:p w14:paraId="547E10B7" w14:textId="77777777" w:rsidR="004E29FC" w:rsidRDefault="004E29FC">
      <w:pPr>
        <w:spacing w:after="0"/>
        <w:ind w:right="-14"/>
        <w:rPr>
          <w:b/>
          <w:sz w:val="20"/>
        </w:rPr>
      </w:pPr>
    </w:p>
    <w:bookmarkEnd w:id="2"/>
    <w:p w14:paraId="17A4561D" w14:textId="2857CBE0" w:rsidR="004E29FC" w:rsidRPr="007F7092" w:rsidRDefault="009C3004">
      <w:pPr>
        <w:pStyle w:val="P68B1DB1-ListNumber2"/>
        <w:keepNext/>
        <w:numPr>
          <w:ilvl w:val="0"/>
          <w:numId w:val="0"/>
        </w:numPr>
      </w:pPr>
      <w:r w:rsidRPr="007F7092">
        <w:t>Zuerkennungskriterien</w:t>
      </w:r>
    </w:p>
    <w:p w14:paraId="4351CD9B" w14:textId="329965A0" w:rsidR="004E29FC" w:rsidRPr="007F7092" w:rsidRDefault="009C3004">
      <w:pPr>
        <w:keepNext/>
      </w:pPr>
      <w:r w:rsidRPr="007F7092">
        <w:t xml:space="preserve">Die Abordnung fällt unter den </w:t>
      </w:r>
      <w:r w:rsidRPr="007F7092">
        <w:rPr>
          <w:b/>
        </w:rPr>
        <w:t xml:space="preserve">Beschluss C(2008) 6866 der Kommission </w:t>
      </w:r>
      <w:r w:rsidRPr="007F7092">
        <w:t>vom 12.11.2008 über die Regelung für zur Kommission abgeordnete oder sich zu Zwecken der beruflichen Weiterbildung bei der Kommission aufhaltende nationale Sachverständige (ANS-Beschluss).</w:t>
      </w:r>
    </w:p>
    <w:p w14:paraId="34498A87" w14:textId="12420708" w:rsidR="004E29FC" w:rsidRPr="007F7092" w:rsidRDefault="009C3004">
      <w:r w:rsidRPr="007F7092">
        <w:t xml:space="preserve">Gemäß dem ANS-Beschluss müssen Sie zu </w:t>
      </w:r>
      <w:r w:rsidRPr="007F7092">
        <w:rPr>
          <w:b/>
        </w:rPr>
        <w:t>Beginn der Abordnung die</w:t>
      </w:r>
      <w:r w:rsidRPr="007F7092">
        <w:t xml:space="preserve"> folgenden Zulassungskriterien erfüllen:</w:t>
      </w:r>
    </w:p>
    <w:p w14:paraId="2A82F38A" w14:textId="4F2D910B" w:rsidR="004E29FC" w:rsidRPr="007F7092" w:rsidRDefault="009C3004">
      <w:pPr>
        <w:pStyle w:val="ListBullet"/>
      </w:pPr>
      <w:r w:rsidRPr="007F7092">
        <w:rPr>
          <w:u w:val="single"/>
        </w:rPr>
        <w:t>Berufserfahrung:</w:t>
      </w:r>
      <w:r w:rsidRPr="007F7092">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4E29FC" w:rsidRPr="007F7092" w:rsidRDefault="009C3004">
      <w:pPr>
        <w:pStyle w:val="ListBullet"/>
      </w:pPr>
      <w:r w:rsidRPr="007F7092">
        <w:rPr>
          <w:u w:val="single"/>
        </w:rPr>
        <w:t>Dienstalter:</w:t>
      </w:r>
      <w:r w:rsidRPr="007F7092">
        <w:t xml:space="preserve"> mindestens ein volles Jahr (12 Monate) bei Ihrem derzeitigen Arbeitgeber in einem dienst- oder vertragsrechtlichen Verhältnis.</w:t>
      </w:r>
    </w:p>
    <w:p w14:paraId="52986B8D" w14:textId="511D026E" w:rsidR="004E29FC" w:rsidRPr="007F7092" w:rsidRDefault="009C3004">
      <w:pPr>
        <w:pStyle w:val="ListBullet"/>
      </w:pPr>
      <w:r w:rsidRPr="007F7092">
        <w:rPr>
          <w:u w:val="single"/>
        </w:rPr>
        <w:t>Dienstgeber:</w:t>
      </w:r>
      <w:r w:rsidRPr="007F7092">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4E29FC" w:rsidRPr="007F7092" w:rsidRDefault="009C3004">
      <w:pPr>
        <w:pStyle w:val="ListBullet"/>
      </w:pPr>
      <w:r w:rsidRPr="007F7092">
        <w:rPr>
          <w:u w:val="single"/>
        </w:rPr>
        <w:t>Sprachkenntnisse:</w:t>
      </w:r>
      <w:r w:rsidRPr="007F7092">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4E29FC" w:rsidRPr="007F7092" w:rsidRDefault="004E29FC"/>
    <w:p w14:paraId="5C3A2162" w14:textId="789CE808" w:rsidR="004E29FC" w:rsidRPr="007F7092" w:rsidRDefault="009C3004">
      <w:pPr>
        <w:pStyle w:val="P68B1DB1-ListNumber2"/>
        <w:keepNext/>
        <w:numPr>
          <w:ilvl w:val="0"/>
          <w:numId w:val="0"/>
        </w:numPr>
        <w:ind w:left="709" w:hanging="709"/>
      </w:pPr>
      <w:r w:rsidRPr="007F7092">
        <w:t>Bedingungen für die Abordnung</w:t>
      </w:r>
    </w:p>
    <w:p w14:paraId="42ECB69D" w14:textId="49CFA327" w:rsidR="004E29FC" w:rsidRPr="007F7092" w:rsidRDefault="009C3004">
      <w:pPr>
        <w:keepNext/>
      </w:pPr>
      <w:r w:rsidRPr="007F7092">
        <w:t xml:space="preserve">Während der gesamten Dauer Ihrer Abordnung müssen Sie bei Ihrem Arbeitgeber beschäftigt bleiben, von ihm entlohnt werden und in Ihrem (nationalen) Sozialversicherungssystem versichert bleiben. </w:t>
      </w:r>
    </w:p>
    <w:p w14:paraId="0A5C5740" w14:textId="54FC005C" w:rsidR="004E29FC" w:rsidRPr="007F7092" w:rsidRDefault="009C3004">
      <w:r w:rsidRPr="007F7092">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4E29FC" w:rsidRPr="007F7092" w:rsidRDefault="009C3004">
      <w:r w:rsidRPr="007F7092">
        <w:t xml:space="preserve">Falls die Stelle mit Zulagen ausgeschrieben wird, können diese nur gewährt werden, wenn Sie die in Artikel 17 des ANS-Beschlusses genannten Bedingungen erfüllen. </w:t>
      </w:r>
    </w:p>
    <w:p w14:paraId="58EAEF9C" w14:textId="2137133C" w:rsidR="004E29FC" w:rsidRPr="007F7092" w:rsidRDefault="009C3004">
      <w:r w:rsidRPr="007F7092">
        <w:lastRenderedPageBreak/>
        <w:t xml:space="preserve">Bedienstete, die in einer Delegation der Europäischen Union eingesetzt werden, müssen über eine Sicherheitsüberprüfung (bis zum Geheimhaltungsgrad SECRET UE/EU SECRET gemäß dem </w:t>
      </w:r>
      <w:hyperlink r:id="rId27" w:history="1">
        <w:r w:rsidRPr="007F7092">
          <w:rPr>
            <w:rStyle w:val="Hyperlink"/>
          </w:rPr>
          <w:t>Beschluss (EU, Euratom) 2015/444 der Kommission vom 13. März 2015</w:t>
        </w:r>
      </w:hyperlink>
      <w:r w:rsidRPr="007F7092">
        <w:t xml:space="preserve"> verfügen.  Sie müssen selbst das Überprüfungsverfahren einleiten, bevor die Abordnung bestätigt wird.</w:t>
      </w:r>
    </w:p>
    <w:p w14:paraId="47F718AD" w14:textId="31125EBD" w:rsidR="004E29FC" w:rsidRPr="007F7092" w:rsidRDefault="004E29FC"/>
    <w:p w14:paraId="6D7A78FD" w14:textId="720F9762" w:rsidR="004E29FC" w:rsidRPr="007F7092" w:rsidRDefault="009C3004">
      <w:pPr>
        <w:pStyle w:val="P68B1DB1-ListNumber2"/>
        <w:keepNext/>
        <w:numPr>
          <w:ilvl w:val="0"/>
          <w:numId w:val="0"/>
        </w:numPr>
        <w:ind w:left="709" w:hanging="709"/>
      </w:pPr>
      <w:r w:rsidRPr="007F7092">
        <w:t>Bewerbung und Auswahlverfahren</w:t>
      </w:r>
    </w:p>
    <w:p w14:paraId="737732DB" w14:textId="59C050A8" w:rsidR="004E29FC" w:rsidRPr="007F7092" w:rsidRDefault="009C3004">
      <w:pPr>
        <w:keepNext/>
      </w:pPr>
      <w:r w:rsidRPr="007F7092">
        <w:t xml:space="preserve">Falls Sie interessiert sind, folgen Sie bitte den Anweisungen Ihres Arbeitgebers für die Bewerbung. </w:t>
      </w:r>
    </w:p>
    <w:p w14:paraId="01FE2616" w14:textId="3EE6DFF7" w:rsidR="004E29FC" w:rsidRPr="007F7092" w:rsidRDefault="009C3004">
      <w:pPr>
        <w:keepNext/>
      </w:pPr>
      <w:r w:rsidRPr="007F7092">
        <w:t xml:space="preserve">Die Europäische Kommission </w:t>
      </w:r>
      <w:r w:rsidRPr="007F7092">
        <w:rPr>
          <w:b/>
        </w:rPr>
        <w:t>akzeptiert nur Anträge, die über die Ständige Vertretung/Diplomatikmission Ihres Landes bei der EU, das EFTA-Sekretariat oder über die Kanäle, denen sie ausdrücklich zugestimmt hat, eingereicht wurden</w:t>
      </w:r>
      <w:r w:rsidRPr="007F7092">
        <w:t>. Bewerbungen, die direkt von Ihnen oder Ihrem Arbeitgeber eingehen, werden nicht berücksichtigt.</w:t>
      </w:r>
    </w:p>
    <w:p w14:paraId="0F7E0F3E" w14:textId="42443FEA" w:rsidR="004E29FC" w:rsidRPr="007F7092" w:rsidRDefault="009C3004">
      <w:pPr>
        <w:keepNext/>
      </w:pPr>
      <w:r w:rsidRPr="007F7092">
        <w:t>Bitte erstellen Sie Ihren Lebenslauf in englischer, französischer oder deutscher Sprache im</w:t>
      </w:r>
      <w:r w:rsidRPr="007F7092">
        <w:rPr>
          <w:b/>
        </w:rPr>
        <w:t xml:space="preserve"> Europass-Lebenslaufformat </w:t>
      </w:r>
      <w:r w:rsidRPr="007F7092">
        <w:t>(</w:t>
      </w:r>
      <w:hyperlink r:id="rId28" w:history="1">
        <w:hyperlink r:id="rId29" w:history="1">
          <w:r w:rsidRPr="007F7092">
            <w:rPr>
              <w:rStyle w:val="Hyperlink"/>
            </w:rPr>
            <w:t>Create your Europass CV | Europass</w:t>
          </w:r>
        </w:hyperlink>
      </w:hyperlink>
      <w:r w:rsidRPr="007F7092">
        <w:t>). Im Lebenslauf muss Ihre Staatsangehörigkeit angegeben werden.</w:t>
      </w:r>
    </w:p>
    <w:p w14:paraId="5D1B7045" w14:textId="53BEFD6E" w:rsidR="004E29FC" w:rsidRPr="007F7092" w:rsidRDefault="009C3004">
      <w:r w:rsidRPr="007F7092">
        <w:t>Bitte fügen Sie ihrer Bewerbung keine anderen Dokumente</w:t>
      </w:r>
      <w:r w:rsidRPr="007F7092">
        <w:rPr>
          <w:b/>
        </w:rPr>
        <w:t xml:space="preserve"> </w:t>
      </w:r>
      <w:r w:rsidRPr="007F7092">
        <w:t>(wie Kopien des Personalausweises, Kopien von Abschlusszeugnissen, Nachweise der Berufserfahrung usw.) bei. Diese Dokumente werden gegebenenfalls zu einem späteren Zeitpunkt angefordert.</w:t>
      </w:r>
    </w:p>
    <w:p w14:paraId="00AF0134" w14:textId="77777777" w:rsidR="004E29FC" w:rsidRPr="007F7092" w:rsidRDefault="004E29FC"/>
    <w:p w14:paraId="54CDDE36" w14:textId="52364A78" w:rsidR="004E29FC" w:rsidRPr="007F7092" w:rsidRDefault="009C3004">
      <w:pPr>
        <w:pStyle w:val="P68B1DB1-ListNumber2"/>
        <w:keepNext/>
        <w:numPr>
          <w:ilvl w:val="0"/>
          <w:numId w:val="0"/>
        </w:numPr>
        <w:ind w:left="709" w:hanging="709"/>
      </w:pPr>
      <w:r w:rsidRPr="007F7092">
        <w:t>Verarbeitung personenbezogener Daten</w:t>
      </w:r>
    </w:p>
    <w:p w14:paraId="0D144B0D" w14:textId="1B120317" w:rsidR="004E29FC" w:rsidRDefault="009C3004">
      <w:pPr>
        <w:keepNext/>
      </w:pPr>
      <w:r w:rsidRPr="007F7092">
        <w:t>Die Kommission stellt sicher, dass die personenbezogenen Daten der Bewerber/innen gemäß der Verordnung (EU) 2018/1725 des Europäischen Parlaments und des Rates verarbeitet</w:t>
      </w:r>
      <w:r w:rsidRPr="007F7092">
        <w:rPr>
          <w:rStyle w:val="FootnoteReference"/>
          <w:sz w:val="22"/>
        </w:rPr>
        <w:footnoteReference w:id="1"/>
      </w:r>
      <w:r w:rsidRPr="007F7092">
        <w:t xml:space="preserve">werden. Dies gilt insbesondere für die Vertraulichkeit und Sicherheit solcher Daten. </w:t>
      </w:r>
      <w:bookmarkStart w:id="3" w:name="_Hlk132131276"/>
      <w:r w:rsidRPr="007F7092">
        <w:t>Bevor Sie sich bewerben, lesen Sie bitte die beigefügte Datenschutzerklärung.</w:t>
      </w:r>
      <w:bookmarkEnd w:id="3"/>
    </w:p>
    <w:sectPr w:rsidR="004E29FC">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4E29FC" w:rsidRDefault="009C3004">
      <w:pPr>
        <w:spacing w:after="0"/>
      </w:pPr>
      <w:r>
        <w:separator/>
      </w:r>
    </w:p>
  </w:endnote>
  <w:endnote w:type="continuationSeparator" w:id="0">
    <w:p w14:paraId="2EDF69C8" w14:textId="77777777" w:rsidR="004E29FC" w:rsidRDefault="009C30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4E29FC" w:rsidRDefault="009C3004">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4E29FC" w:rsidRDefault="009C3004">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4E29FC" w:rsidRDefault="009C3004">
      <w:pPr>
        <w:spacing w:after="0"/>
      </w:pPr>
      <w:r>
        <w:separator/>
      </w:r>
    </w:p>
  </w:footnote>
  <w:footnote w:type="continuationSeparator" w:id="0">
    <w:p w14:paraId="626DEDAF" w14:textId="77777777" w:rsidR="004E29FC" w:rsidRDefault="009C3004">
      <w:pPr>
        <w:spacing w:after="0"/>
      </w:pPr>
      <w:r>
        <w:continuationSeparator/>
      </w:r>
    </w:p>
  </w:footnote>
  <w:footnote w:id="1">
    <w:p w14:paraId="6AE43B3C" w14:textId="5EDB2F13" w:rsidR="004E29FC" w:rsidRDefault="009C3004">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59A0"/>
    <w:rsid w:val="00012665"/>
    <w:rsid w:val="0007110E"/>
    <w:rsid w:val="0007544E"/>
    <w:rsid w:val="00092BCA"/>
    <w:rsid w:val="000A4668"/>
    <w:rsid w:val="000D129C"/>
    <w:rsid w:val="000D549A"/>
    <w:rsid w:val="000F371B"/>
    <w:rsid w:val="000F4CD5"/>
    <w:rsid w:val="00111AB6"/>
    <w:rsid w:val="001A3B85"/>
    <w:rsid w:val="001D0A81"/>
    <w:rsid w:val="002109E6"/>
    <w:rsid w:val="00252050"/>
    <w:rsid w:val="002B3CBF"/>
    <w:rsid w:val="002C13C3"/>
    <w:rsid w:val="002C49D0"/>
    <w:rsid w:val="002E40A9"/>
    <w:rsid w:val="00394447"/>
    <w:rsid w:val="003E50A4"/>
    <w:rsid w:val="0040388A"/>
    <w:rsid w:val="0043089F"/>
    <w:rsid w:val="00431778"/>
    <w:rsid w:val="00454CC7"/>
    <w:rsid w:val="00464195"/>
    <w:rsid w:val="00476034"/>
    <w:rsid w:val="004E29FC"/>
    <w:rsid w:val="005168AD"/>
    <w:rsid w:val="0058240F"/>
    <w:rsid w:val="00592CD5"/>
    <w:rsid w:val="00597AB0"/>
    <w:rsid w:val="005B7847"/>
    <w:rsid w:val="005B7988"/>
    <w:rsid w:val="005D1B85"/>
    <w:rsid w:val="00665583"/>
    <w:rsid w:val="00693BC6"/>
    <w:rsid w:val="00696070"/>
    <w:rsid w:val="00726AF0"/>
    <w:rsid w:val="007E531E"/>
    <w:rsid w:val="007F02AC"/>
    <w:rsid w:val="007F7012"/>
    <w:rsid w:val="007F7092"/>
    <w:rsid w:val="008D02B7"/>
    <w:rsid w:val="008F0B52"/>
    <w:rsid w:val="008F4BA9"/>
    <w:rsid w:val="00994062"/>
    <w:rsid w:val="00996CC6"/>
    <w:rsid w:val="009A1EA0"/>
    <w:rsid w:val="009A2F00"/>
    <w:rsid w:val="009C3004"/>
    <w:rsid w:val="009C5E27"/>
    <w:rsid w:val="00A033AD"/>
    <w:rsid w:val="00AB2CEA"/>
    <w:rsid w:val="00AF6424"/>
    <w:rsid w:val="00B24CC5"/>
    <w:rsid w:val="00B3644B"/>
    <w:rsid w:val="00B65513"/>
    <w:rsid w:val="00B73F08"/>
    <w:rsid w:val="00B8014C"/>
    <w:rsid w:val="00C06724"/>
    <w:rsid w:val="00C14F4F"/>
    <w:rsid w:val="00C3254D"/>
    <w:rsid w:val="00C504C7"/>
    <w:rsid w:val="00C75BA4"/>
    <w:rsid w:val="00CB5B61"/>
    <w:rsid w:val="00CC735C"/>
    <w:rsid w:val="00CD2C5A"/>
    <w:rsid w:val="00D0015C"/>
    <w:rsid w:val="00D01F81"/>
    <w:rsid w:val="00D03CF4"/>
    <w:rsid w:val="00D7090C"/>
    <w:rsid w:val="00D84D53"/>
    <w:rsid w:val="00D96984"/>
    <w:rsid w:val="00DD41ED"/>
    <w:rsid w:val="00DF1E49"/>
    <w:rsid w:val="00DF2D3C"/>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fr-B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C3DEF" w:rsidRDefault="007C3DEF">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C3DEF" w:rsidRDefault="007C3DEF">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C3DEF" w:rsidRDefault="007C3DEF">
          <w:pPr>
            <w:pStyle w:val="E4139A8A81AD41B0A456F71CC855670B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C3DEF" w:rsidRDefault="007C3DEF">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7C3DEF" w:rsidRDefault="007C3DEF">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C3DEF" w:rsidRDefault="007C3DEF">
          <w:pPr>
            <w:pStyle w:val="42CE55A0461841A39534A5E777539A6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7C3DEF" w:rsidRDefault="007C3DEF">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7C3DEF" w:rsidRDefault="007C3DEF">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C3DEF" w:rsidRDefault="007C3DEF">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C3DEF"/>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a41a97bf-0494-41d8-ba3d-259bd7771890"/>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http://purl.org/dc/elements/1.1/"/>
    <ds:schemaRef ds:uri="08927195-b699-4be0-9ee2-6c66dc215b5a"/>
    <ds:schemaRef ds:uri="http://schemas.microsoft.com/sharepoint/v3/fields"/>
    <ds:schemaRef ds:uri="1929b814-5a78-4bdc-9841-d8b9ef424f65"/>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1380</Words>
  <Characters>7537</Characters>
  <Application>Microsoft Office Word</Application>
  <DocSecurity>0</DocSecurity>
  <PresentationFormat>Microsoft Word 14.0</PresentationFormat>
  <Lines>685</Lines>
  <Paragraphs>495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2024-06-26T17:11:00Z</cp:lastPrinted>
  <dcterms:created xsi:type="dcterms:W3CDTF">2024-07-05T07:37:00Z</dcterms:created>
  <dcterms:modified xsi:type="dcterms:W3CDTF">2024-07-05T07:37:00Z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